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5D" w:rsidRPr="006D6837" w:rsidRDefault="00A31E5D">
      <w:pPr>
        <w:spacing w:after="0"/>
        <w:rPr>
          <w:sz w:val="20"/>
          <w:szCs w:val="20"/>
        </w:rPr>
      </w:pPr>
      <w:r w:rsidRPr="006D6837">
        <w:rPr>
          <w:sz w:val="20"/>
          <w:szCs w:val="20"/>
        </w:rPr>
        <w:t xml:space="preserve">Fragmenty obecnie obowiązujących wytycznych Polskiej Rady Resuscytacji </w:t>
      </w:r>
      <w:r w:rsidR="006D6837" w:rsidRPr="006D6837">
        <w:rPr>
          <w:sz w:val="20"/>
          <w:szCs w:val="20"/>
        </w:rPr>
        <w:t>w odniesieniu do prowadzenia szkoleń z zakresu pierwszej pomocy i obsługi AED w nawiązaniu do wytycznych wprowadzania programu powszechnej dostępności do defibrylacji. Podkreślenia na czerwono moje (Anna Maria Szymkowiak) jako bez[pośrednio odnoszące się do tematu projektu</w:t>
      </w:r>
      <w:bookmarkStart w:id="0" w:name="_GoBack"/>
      <w:bookmarkEnd w:id="0"/>
    </w:p>
    <w:p w:rsidR="00A31E5D" w:rsidRPr="00A31E5D" w:rsidRDefault="00A31E5D">
      <w:pPr>
        <w:spacing w:after="0"/>
        <w:rPr>
          <w:sz w:val="46"/>
        </w:rPr>
      </w:pPr>
    </w:p>
    <w:p w:rsidR="00843B32" w:rsidRPr="00A31E5D" w:rsidRDefault="00F8537C">
      <w:pPr>
        <w:spacing w:after="0"/>
        <w:rPr>
          <w:lang w:val="en-US"/>
        </w:rPr>
      </w:pPr>
      <w:r w:rsidRPr="00A31E5D">
        <w:rPr>
          <w:sz w:val="46"/>
          <w:lang w:val="en-US"/>
        </w:rPr>
        <w:t xml:space="preserve">Nauczanie i implementacja resuscytacji  </w:t>
      </w:r>
      <w:r w:rsidRPr="00A31E5D">
        <w:rPr>
          <w:sz w:val="122"/>
          <w:lang w:val="en-US"/>
        </w:rPr>
        <w:t>10</w:t>
      </w:r>
    </w:p>
    <w:p w:rsidR="00843B32" w:rsidRPr="00A31E5D" w:rsidRDefault="00F8537C">
      <w:pPr>
        <w:tabs>
          <w:tab w:val="center" w:pos="5591"/>
        </w:tabs>
        <w:spacing w:after="105"/>
        <w:rPr>
          <w:lang w:val="en-US"/>
        </w:rPr>
      </w:pPr>
      <w:r w:rsidRPr="00A31E5D">
        <w:rPr>
          <w:sz w:val="24"/>
          <w:lang w:val="en-US"/>
        </w:rPr>
        <w:t xml:space="preserve">Koenraad G. MonsieursRobert Greif </w:t>
      </w:r>
      <w:r w:rsidRPr="00A31E5D">
        <w:rPr>
          <w:sz w:val="21"/>
          <w:vertAlign w:val="superscript"/>
          <w:lang w:val="en-US"/>
        </w:rPr>
        <w:t>a</w:t>
      </w:r>
      <w:r w:rsidRPr="00A31E5D">
        <w:rPr>
          <w:sz w:val="24"/>
          <w:lang w:val="en-US"/>
        </w:rPr>
        <w:t>, Andrew S. Lockey</w:t>
      </w:r>
      <w:r w:rsidRPr="00A31E5D">
        <w:rPr>
          <w:sz w:val="21"/>
          <w:vertAlign w:val="subscript"/>
          <w:lang w:val="en-US"/>
        </w:rPr>
        <w:t>g</w:t>
      </w:r>
      <w:r w:rsidRPr="00A31E5D">
        <w:rPr>
          <w:sz w:val="21"/>
          <w:vertAlign w:val="subscript"/>
          <w:lang w:val="en-US"/>
        </w:rPr>
        <w:tab/>
      </w:r>
      <w:r w:rsidRPr="00A31E5D">
        <w:rPr>
          <w:sz w:val="21"/>
          <w:vertAlign w:val="superscript"/>
          <w:lang w:val="en-US"/>
        </w:rPr>
        <w:t>b</w:t>
      </w:r>
      <w:r w:rsidRPr="00A31E5D">
        <w:rPr>
          <w:sz w:val="24"/>
          <w:lang w:val="en-US"/>
        </w:rPr>
        <w:t>, Patricia Conaghan</w:t>
      </w:r>
      <w:r w:rsidRPr="00A31E5D">
        <w:rPr>
          <w:sz w:val="21"/>
          <w:vertAlign w:val="superscript"/>
          <w:lang w:val="en-US"/>
        </w:rPr>
        <w:t>c</w:t>
      </w:r>
      <w:r w:rsidRPr="00A31E5D">
        <w:rPr>
          <w:sz w:val="24"/>
          <w:lang w:val="en-US"/>
        </w:rPr>
        <w:t>, Anne Lippert</w:t>
      </w:r>
      <w:r w:rsidRPr="00A31E5D">
        <w:rPr>
          <w:sz w:val="21"/>
          <w:vertAlign w:val="superscript"/>
          <w:lang w:val="en-US"/>
        </w:rPr>
        <w:t>d</w:t>
      </w:r>
      <w:r w:rsidRPr="00A31E5D">
        <w:rPr>
          <w:sz w:val="24"/>
          <w:lang w:val="en-US"/>
        </w:rPr>
        <w:t>, Wiebe De Vries</w:t>
      </w:r>
      <w:r w:rsidRPr="00A31E5D">
        <w:rPr>
          <w:sz w:val="21"/>
          <w:vertAlign w:val="superscript"/>
          <w:lang w:val="en-US"/>
        </w:rPr>
        <w:t>e</w:t>
      </w:r>
      <w:r w:rsidRPr="00A31E5D">
        <w:rPr>
          <w:sz w:val="24"/>
          <w:lang w:val="en-US"/>
        </w:rPr>
        <w:t xml:space="preserve">, </w:t>
      </w:r>
    </w:p>
    <w:p w:rsidR="00843B32" w:rsidRPr="00A31E5D" w:rsidRDefault="00F8537C">
      <w:pPr>
        <w:spacing w:after="221"/>
        <w:ind w:left="2201"/>
        <w:rPr>
          <w:lang w:val="en-US"/>
        </w:rPr>
      </w:pPr>
      <w:r w:rsidRPr="00A31E5D">
        <w:rPr>
          <w:sz w:val="14"/>
          <w:lang w:val="en-US"/>
        </w:rPr>
        <w:t xml:space="preserve">f, </w:t>
      </w:r>
    </w:p>
    <w:p w:rsidR="00843B32" w:rsidRPr="00A31E5D" w:rsidRDefault="00F8537C">
      <w:pPr>
        <w:spacing w:after="3" w:line="239" w:lineRule="auto"/>
        <w:ind w:left="-5" w:right="2403" w:hanging="10"/>
        <w:jc w:val="both"/>
        <w:rPr>
          <w:lang w:val="en-US"/>
        </w:rPr>
      </w:pPr>
      <w:r w:rsidRPr="00A31E5D">
        <w:rPr>
          <w:sz w:val="13"/>
          <w:vertAlign w:val="superscript"/>
          <w:lang w:val="en-US"/>
        </w:rPr>
        <w:t xml:space="preserve">a </w:t>
      </w:r>
      <w:r w:rsidRPr="00A31E5D">
        <w:rPr>
          <w:sz w:val="15"/>
          <w:lang w:val="en-US"/>
        </w:rPr>
        <w:t xml:space="preserve">Department of Anaesthesiology and Pain Medicine, University Hospital Bern and University of Bern, Bern, Switzerland </w:t>
      </w:r>
      <w:r w:rsidRPr="00A31E5D">
        <w:rPr>
          <w:sz w:val="13"/>
          <w:vertAlign w:val="superscript"/>
          <w:lang w:val="en-US"/>
        </w:rPr>
        <w:t xml:space="preserve">b </w:t>
      </w:r>
      <w:r w:rsidRPr="00A31E5D">
        <w:rPr>
          <w:sz w:val="15"/>
          <w:lang w:val="en-US"/>
        </w:rPr>
        <w:t xml:space="preserve">Emergency Department, Calderdale Royal Hospital, Salterhebble, Halifax HX3 0PW, UK </w:t>
      </w:r>
      <w:r w:rsidRPr="00A31E5D">
        <w:rPr>
          <w:sz w:val="13"/>
          <w:vertAlign w:val="superscript"/>
          <w:lang w:val="en-US"/>
        </w:rPr>
        <w:t xml:space="preserve">c </w:t>
      </w:r>
      <w:r w:rsidRPr="00A31E5D">
        <w:rPr>
          <w:sz w:val="15"/>
          <w:lang w:val="en-US"/>
        </w:rPr>
        <w:t>School of Nursing, Midwifery &amp; Social Work, Th e Univ</w:t>
      </w:r>
      <w:r w:rsidRPr="00A31E5D">
        <w:rPr>
          <w:sz w:val="15"/>
          <w:lang w:val="en-US"/>
        </w:rPr>
        <w:t xml:space="preserve">ersity of Manchester, Manchester, UK </w:t>
      </w:r>
      <w:r w:rsidRPr="00A31E5D">
        <w:rPr>
          <w:sz w:val="13"/>
          <w:vertAlign w:val="superscript"/>
          <w:lang w:val="en-US"/>
        </w:rPr>
        <w:t xml:space="preserve">d </w:t>
      </w:r>
      <w:r w:rsidRPr="00A31E5D">
        <w:rPr>
          <w:sz w:val="15"/>
          <w:lang w:val="en-US"/>
        </w:rPr>
        <w:t xml:space="preserve">Danish Institute for Medical Simulation, Center for HR, Capital Region of Denmark </w:t>
      </w:r>
      <w:r w:rsidRPr="00A31E5D">
        <w:rPr>
          <w:sz w:val="13"/>
          <w:vertAlign w:val="superscript"/>
          <w:lang w:val="en-US"/>
        </w:rPr>
        <w:t>e</w:t>
      </w:r>
      <w:r w:rsidRPr="00A31E5D">
        <w:rPr>
          <w:sz w:val="15"/>
          <w:lang w:val="en-US"/>
        </w:rPr>
        <w:t xml:space="preserve"> Knowledge Centre, ACM Training Centre, Elburg, Th e Netherlands</w:t>
      </w:r>
    </w:p>
    <w:p w:rsidR="00843B32" w:rsidRPr="00A31E5D" w:rsidRDefault="00F8537C">
      <w:pPr>
        <w:spacing w:after="3" w:line="239" w:lineRule="auto"/>
        <w:ind w:left="-5" w:right="3148" w:hanging="10"/>
        <w:jc w:val="both"/>
        <w:rPr>
          <w:lang w:val="en-US"/>
        </w:rPr>
      </w:pPr>
      <w:r w:rsidRPr="00A31E5D">
        <w:rPr>
          <w:sz w:val="13"/>
          <w:vertAlign w:val="superscript"/>
          <w:lang w:val="en-US"/>
        </w:rPr>
        <w:t>f</w:t>
      </w:r>
      <w:r w:rsidRPr="00A31E5D">
        <w:rPr>
          <w:sz w:val="15"/>
          <w:lang w:val="en-US"/>
        </w:rPr>
        <w:t xml:space="preserve"> Emergency Medicine, Faculty of Medicine and Health Sciences, Univer</w:t>
      </w:r>
      <w:r w:rsidRPr="00A31E5D">
        <w:rPr>
          <w:sz w:val="15"/>
          <w:lang w:val="en-US"/>
        </w:rPr>
        <w:t xml:space="preserve">sity of Antwerp, Antwerp, Belgium </w:t>
      </w:r>
      <w:r w:rsidRPr="00A31E5D">
        <w:rPr>
          <w:sz w:val="13"/>
          <w:vertAlign w:val="superscript"/>
          <w:lang w:val="en-US"/>
        </w:rPr>
        <w:t>g</w:t>
      </w:r>
      <w:r w:rsidRPr="00A31E5D">
        <w:rPr>
          <w:sz w:val="15"/>
          <w:lang w:val="en-US"/>
        </w:rPr>
        <w:t xml:space="preserve"> Faculty of Medicine and Health Sciences,  University of Ghent, Ghent, Belgium</w:t>
      </w:r>
    </w:p>
    <w:p w:rsidR="00843B32" w:rsidRPr="00A31E5D" w:rsidRDefault="00843B32">
      <w:pPr>
        <w:rPr>
          <w:lang w:val="en-US"/>
        </w:rPr>
        <w:sectPr w:rsidR="00843B32" w:rsidRPr="00A31E5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622" w:h="16724"/>
          <w:pgMar w:top="1715" w:right="1191" w:bottom="1154" w:left="1020" w:header="708" w:footer="566" w:gutter="0"/>
          <w:pgNumType w:start="364"/>
          <w:cols w:space="708"/>
          <w:titlePg/>
        </w:sectPr>
      </w:pPr>
    </w:p>
    <w:p w:rsidR="00843B32" w:rsidRDefault="00F8537C">
      <w:pPr>
        <w:pStyle w:val="Nagwek1"/>
        <w:spacing w:after="145"/>
        <w:ind w:left="913" w:firstLine="0"/>
      </w:pPr>
      <w:r>
        <w:t>Wstęp</w:t>
      </w:r>
    </w:p>
    <w:p w:rsidR="00843B32" w:rsidRDefault="00F8537C">
      <w:pPr>
        <w:spacing w:after="0" w:line="242" w:lineRule="auto"/>
        <w:ind w:left="913" w:right="35"/>
        <w:jc w:val="both"/>
      </w:pPr>
      <w:r>
        <w:rPr>
          <w:sz w:val="20"/>
        </w:rPr>
        <w:t>Łańcuch przeżycia</w:t>
      </w:r>
      <w:r>
        <w:rPr>
          <w:sz w:val="18"/>
          <w:vertAlign w:val="superscript"/>
        </w:rPr>
        <w:t>1</w:t>
      </w:r>
      <w:r>
        <w:rPr>
          <w:sz w:val="20"/>
        </w:rPr>
        <w:t xml:space="preserve"> został rozszerzony do formuły przetrwania</w:t>
      </w:r>
      <w:r>
        <w:rPr>
          <w:sz w:val="18"/>
          <w:vertAlign w:val="superscript"/>
        </w:rPr>
        <w:t>2</w:t>
      </w:r>
      <w:r>
        <w:rPr>
          <w:sz w:val="20"/>
        </w:rPr>
        <w:t xml:space="preserve">, ponieważ zdano sobie sprawę, że osiągnięcie celu, jakim jest poprawa przeżywalności, zależy nie tylko </w:t>
      </w:r>
      <w:r>
        <w:rPr>
          <w:sz w:val="20"/>
        </w:rPr>
        <w:t>od rzetelnej i wysokiej jakości wiedzy, ale również od efektywności nauczania laików i pracowników ochrony zdrowia</w:t>
      </w:r>
      <w:r>
        <w:rPr>
          <w:sz w:val="18"/>
          <w:vertAlign w:val="superscript"/>
        </w:rPr>
        <w:t>2</w:t>
      </w:r>
      <w:r>
        <w:rPr>
          <w:sz w:val="20"/>
        </w:rPr>
        <w:t>. Ostatecznie ci, którzy są zaangażowani w opiekę nad osobami z zatrzymaniem krążenia, powinni być w stanie wprowadzić wydajne zasoby systemo</w:t>
      </w:r>
      <w:r>
        <w:rPr>
          <w:sz w:val="20"/>
        </w:rPr>
        <w:t xml:space="preserve">we, co może zwiększyć odsetek przeżyć po NZK. </w:t>
      </w:r>
    </w:p>
    <w:p w:rsidR="00843B32" w:rsidRDefault="00F8537C">
      <w:pPr>
        <w:spacing w:after="0" w:line="242" w:lineRule="auto"/>
        <w:ind w:left="913" w:right="35" w:firstLine="340"/>
        <w:jc w:val="both"/>
      </w:pPr>
      <w:r>
        <w:rPr>
          <w:noProof/>
        </w:rPr>
        <mc:AlternateContent>
          <mc:Choice Requires="wpg">
            <w:drawing>
              <wp:anchor distT="0" distB="0" distL="114300" distR="114300" simplePos="0" relativeHeight="251658240" behindDoc="1" locked="0" layoutInCell="1" allowOverlap="1">
                <wp:simplePos x="0" y="0"/>
                <wp:positionH relativeFrom="column">
                  <wp:posOffset>300346</wp:posOffset>
                </wp:positionH>
                <wp:positionV relativeFrom="paragraph">
                  <wp:posOffset>-4503859</wp:posOffset>
                </wp:positionV>
                <wp:extent cx="6575717" cy="9497147"/>
                <wp:effectExtent l="0" t="0" r="0" b="0"/>
                <wp:wrapNone/>
                <wp:docPr id="59202" name="Group 59202"/>
                <wp:cNvGraphicFramePr/>
                <a:graphic xmlns:a="http://schemas.openxmlformats.org/drawingml/2006/main">
                  <a:graphicData uri="http://schemas.microsoft.com/office/word/2010/wordprocessingGroup">
                    <wpg:wgp>
                      <wpg:cNvGrpSpPr/>
                      <wpg:grpSpPr>
                        <a:xfrm>
                          <a:off x="0" y="0"/>
                          <a:ext cx="6575717" cy="9497147"/>
                          <a:chOff x="0" y="0"/>
                          <a:chExt cx="6575717" cy="9497147"/>
                        </a:xfrm>
                      </wpg:grpSpPr>
                      <wps:wsp>
                        <wps:cNvPr id="9" name="Rectangle 9"/>
                        <wps:cNvSpPr/>
                        <wps:spPr>
                          <a:xfrm rot="-3479999">
                            <a:off x="-2552996" y="2571035"/>
                            <a:ext cx="13855809" cy="1662172"/>
                          </a:xfrm>
                          <a:prstGeom prst="rect">
                            <a:avLst/>
                          </a:prstGeom>
                          <a:ln>
                            <a:noFill/>
                          </a:ln>
                        </wps:spPr>
                        <wps:txbx>
                          <w:txbxContent>
                            <w:p w:rsidR="00843B32" w:rsidRDefault="00F8537C">
                              <w:r>
                                <w:rPr>
                                  <w:rFonts w:ascii="Eras ITC" w:eastAsia="Eras ITC" w:hAnsi="Eras ITC" w:cs="Eras ITC"/>
                                  <w:b/>
                                  <w:color w:val="E7E7E7"/>
                                  <w:sz w:val="170"/>
                                </w:rPr>
                                <w:t>www.prc.krakow.pl</w:t>
                              </w:r>
                            </w:p>
                          </w:txbxContent>
                        </wps:txbx>
                        <wps:bodyPr horzOverflow="overflow" vert="horz" lIns="0" tIns="0" rIns="0" bIns="0" rtlCol="0">
                          <a:noAutofit/>
                        </wps:bodyPr>
                      </wps:wsp>
                      <wps:wsp>
                        <wps:cNvPr id="476" name="Shape 476"/>
                        <wps:cNvSpPr/>
                        <wps:spPr>
                          <a:xfrm>
                            <a:off x="279690" y="1015264"/>
                            <a:ext cx="5975998" cy="0"/>
                          </a:xfrm>
                          <a:custGeom>
                            <a:avLst/>
                            <a:gdLst/>
                            <a:ahLst/>
                            <a:cxnLst/>
                            <a:rect l="0" t="0" r="0" b="0"/>
                            <a:pathLst>
                              <a:path w="5975998">
                                <a:moveTo>
                                  <a:pt x="0" y="0"/>
                                </a:moveTo>
                                <a:lnTo>
                                  <a:pt x="597599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279690" y="2393392"/>
                            <a:ext cx="5975998" cy="0"/>
                          </a:xfrm>
                          <a:custGeom>
                            <a:avLst/>
                            <a:gdLst/>
                            <a:ahLst/>
                            <a:cxnLst/>
                            <a:rect l="0" t="0" r="0" b="0"/>
                            <a:pathLst>
                              <a:path w="5975998">
                                <a:moveTo>
                                  <a:pt x="0" y="0"/>
                                </a:moveTo>
                                <a:lnTo>
                                  <a:pt x="597599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202" style="width:517.773pt;height:747.807pt;position:absolute;z-index:-2147483178;mso-position-horizontal-relative:text;mso-position-horizontal:absolute;margin-left:23.6493pt;mso-position-vertical-relative:text;margin-top:-354.635pt;" coordsize="65757,94971">
                <v:rect id="Rectangle 9" style="position:absolute;width:138558;height:16621;left:-25529;top:25710;rotation:270;" filled="f" stroked="f">
                  <v:textbox inset="0,0,0,0" style="layout-flow:vertical;mso-layout-flow-alt:bottom-to-top">
                    <w:txbxContent>
                      <w:p>
                        <w:pPr>
                          <w:spacing w:before="0" w:after="160" w:line="259" w:lineRule="auto"/>
                        </w:pPr>
                        <w:r>
                          <w:rPr>
                            <w:rFonts w:cs="Eras ITC" w:hAnsi="Eras ITC" w:eastAsia="Eras ITC" w:ascii="Eras ITC"/>
                            <w:b w:val="1"/>
                            <w:color w:val="e7e7e7"/>
                            <w:sz w:val="170"/>
                          </w:rPr>
                          <w:t xml:space="preserve">www.prc.krakow.pl</w:t>
                        </w:r>
                      </w:p>
                    </w:txbxContent>
                  </v:textbox>
                </v:rect>
                <v:shape id="Shape 476" style="position:absolute;width:59759;height:0;left:2796;top:10152;" coordsize="5975998,0" path="m0,0l5975998,0">
                  <v:stroke weight="0.5pt" endcap="flat" joinstyle="miter" miterlimit="10" on="true" color="#000000"/>
                  <v:fill on="false" color="#000000" opacity="0"/>
                </v:shape>
                <v:shape id="Shape 477" style="position:absolute;width:59759;height:0;left:2796;top:23933;" coordsize="5975998,0" path="m0,0l5975998,0">
                  <v:stroke weight="0.5pt" endcap="flat" joinstyle="miter" miterlimit="10" on="true" color="#000000"/>
                  <v:fill on="false" color="#000000" opacity="0"/>
                </v:shape>
              </v:group>
            </w:pict>
          </mc:Fallback>
        </mc:AlternateContent>
      </w:r>
      <w:r>
        <w:rPr>
          <w:sz w:val="20"/>
        </w:rPr>
        <w:t xml:space="preserve"> </w:t>
      </w:r>
    </w:p>
    <w:p w:rsidR="00843B32" w:rsidRDefault="00F8537C">
      <w:pPr>
        <w:numPr>
          <w:ilvl w:val="0"/>
          <w:numId w:val="1"/>
        </w:numPr>
        <w:spacing w:after="0" w:line="242" w:lineRule="auto"/>
        <w:ind w:right="35" w:hanging="340"/>
        <w:jc w:val="both"/>
      </w:pPr>
      <w:r>
        <w:rPr>
          <w:sz w:val="20"/>
        </w:rPr>
        <w:t xml:space="preserve">Urządzenia przekazujące informację zwrotną podczas RKO są przydatne, aby poprawić częstotliwość uciśnięć, ich głębokość, relaksację klatki piersiowej </w:t>
      </w:r>
      <w:r>
        <w:rPr>
          <w:sz w:val="20"/>
        </w:rPr>
        <w:t>oraz położenie rąk. Urządzenia emitujące dźwięk poprawiają jedynie częstotliwość uciśnięć i mogą mieć niekorzystny wpływ na głębokość uciśnięć, jeśli ratownik skoncentruje się na częstotliwości. Jak dotąd nie na dowodów naukowych pozwalających połączyć zas</w:t>
      </w:r>
      <w:r>
        <w:rPr>
          <w:sz w:val="20"/>
        </w:rPr>
        <w:t>tosowanie na kursach ERC urządzeń emitujących dźwięk z poprawą wyników końcowych.</w:t>
      </w:r>
    </w:p>
    <w:p w:rsidR="00843B32" w:rsidRDefault="00F8537C">
      <w:pPr>
        <w:numPr>
          <w:ilvl w:val="0"/>
          <w:numId w:val="1"/>
        </w:numPr>
        <w:spacing w:after="0" w:line="242" w:lineRule="auto"/>
        <w:ind w:right="35" w:hanging="340"/>
        <w:jc w:val="both"/>
      </w:pPr>
      <w:r>
        <w:rPr>
          <w:sz w:val="20"/>
        </w:rPr>
        <w:t>Odstępy czasu pomiędzy szkoleniami przypominającymi będą się różnić w zależności od adresatów szkolenia (np. laicy lub pracownicy ochrony zdrowia).Wiadomo, że umiejętności po</w:t>
      </w:r>
      <w:r>
        <w:rPr>
          <w:sz w:val="20"/>
        </w:rPr>
        <w:t xml:space="preserve">trzebne do prowadzenia RKO pogarszają się w ciągu miesięcy od szkolenia, dlatego też strategia corocznych szkoleń przypominających może być niewystarczająca. Podczas gdy optymalny czas przerwy pomiędzy szkoleniami nie jest znany, korzystne mogą okazać się </w:t>
      </w:r>
      <w:r>
        <w:rPr>
          <w:sz w:val="20"/>
        </w:rPr>
        <w:t>częste szkolenia przypominające „w małych dawkach”.</w:t>
      </w:r>
    </w:p>
    <w:p w:rsidR="00843B32" w:rsidRDefault="00F8537C">
      <w:pPr>
        <w:pStyle w:val="Nagwek2"/>
        <w:ind w:left="0" w:firstLine="0"/>
      </w:pPr>
      <w:r>
        <w:rPr>
          <w:b w:val="0"/>
          <w:sz w:val="22"/>
        </w:rPr>
        <w:t>Implementacja</w:t>
      </w:r>
    </w:p>
    <w:p w:rsidR="00843B32" w:rsidRDefault="00F8537C">
      <w:pPr>
        <w:numPr>
          <w:ilvl w:val="0"/>
          <w:numId w:val="2"/>
        </w:numPr>
        <w:spacing w:after="5" w:line="248" w:lineRule="auto"/>
        <w:ind w:right="36" w:hanging="340"/>
        <w:jc w:val="both"/>
      </w:pPr>
      <w:r>
        <w:rPr>
          <w:sz w:val="20"/>
        </w:rPr>
        <w:t xml:space="preserve">Wykazano, że </w:t>
      </w:r>
      <w:r w:rsidR="00A31E5D">
        <w:rPr>
          <w:i/>
          <w:sz w:val="20"/>
        </w:rPr>
        <w:t>debriefi</w:t>
      </w:r>
      <w:r>
        <w:rPr>
          <w:i/>
          <w:sz w:val="20"/>
        </w:rPr>
        <w:t>ng</w:t>
      </w:r>
      <w:r>
        <w:rPr>
          <w:sz w:val="20"/>
        </w:rPr>
        <w:t xml:space="preserve"> w oparciu o dane oraz skoncentrowany na przeprowadzonych działaniach wpływa na poprawę działania zespołó</w:t>
      </w:r>
      <w:r>
        <w:rPr>
          <w:sz w:val="20"/>
        </w:rPr>
        <w:t xml:space="preserve">w resuscytacyjnych. Zdecydowanie zaleca się jego zastosowanie zespołom leczącym pacjentów z zatrzymaniem krążenia. </w:t>
      </w:r>
    </w:p>
    <w:p w:rsidR="00843B32" w:rsidRDefault="00F8537C">
      <w:pPr>
        <w:numPr>
          <w:ilvl w:val="0"/>
          <w:numId w:val="2"/>
        </w:numPr>
        <w:spacing w:after="5" w:line="248" w:lineRule="auto"/>
        <w:ind w:right="36" w:hanging="340"/>
        <w:jc w:val="both"/>
      </w:pPr>
      <w:r>
        <w:rPr>
          <w:sz w:val="20"/>
        </w:rPr>
        <w:t>Należy zachęcać do tworzenia lokalnych systemów działania, uwzględniając centra leczenia pacjentów po zatrzymaniu krążenia, ponieważ wiąże s</w:t>
      </w:r>
      <w:r>
        <w:rPr>
          <w:sz w:val="20"/>
        </w:rPr>
        <w:t>ię to ze zwiększonym odsetkiem przeżyć i poprawą stanu neurologicznego u osób po pozaszpitalnym zatrzymaniu  krążenia.</w:t>
      </w:r>
    </w:p>
    <w:p w:rsidR="00843B32" w:rsidRPr="00A31E5D" w:rsidRDefault="00F8537C">
      <w:pPr>
        <w:numPr>
          <w:ilvl w:val="0"/>
          <w:numId w:val="2"/>
        </w:numPr>
        <w:spacing w:after="5" w:line="248" w:lineRule="auto"/>
        <w:ind w:right="36" w:hanging="340"/>
        <w:jc w:val="both"/>
        <w:rPr>
          <w:color w:val="FF0000"/>
        </w:rPr>
      </w:pPr>
      <w:r w:rsidRPr="00A31E5D">
        <w:rPr>
          <w:color w:val="FF0000"/>
          <w:sz w:val="20"/>
        </w:rPr>
        <w:t>Wykorzystanie innowacyjnych technologii i mediów społecznościowych może okazać się korzystne dla wdrożenia szybkiej odpowiedzi na pozaszp</w:t>
      </w:r>
      <w:r w:rsidRPr="00A31E5D">
        <w:rPr>
          <w:color w:val="FF0000"/>
          <w:sz w:val="20"/>
        </w:rPr>
        <w:t>italne zatrzymanie krążenia. Opracowuje się również nowatorskie systemy w celu zaalarmowania świadków zdarzenia o miejscu, gdzie znajduje s</w:t>
      </w:r>
      <w:r w:rsidR="00A31E5D" w:rsidRPr="00A31E5D">
        <w:rPr>
          <w:color w:val="FF0000"/>
          <w:sz w:val="20"/>
        </w:rPr>
        <w:t>ię najbliższy automatyczny defi</w:t>
      </w:r>
      <w:r w:rsidRPr="00A31E5D">
        <w:rPr>
          <w:color w:val="FF0000"/>
          <w:sz w:val="20"/>
        </w:rPr>
        <w:t>brylator zewnętrzny (AED). Należy zachęcać do wykorzystywania każdej technologii, któ</w:t>
      </w:r>
      <w:r w:rsidRPr="00A31E5D">
        <w:rPr>
          <w:color w:val="FF0000"/>
          <w:sz w:val="20"/>
        </w:rPr>
        <w:t>ra może przyspieszyć podejmowanie RKO przez świadków zatrzymania krążenia i umożliwić szybki dostęp do najbliższego AED.</w:t>
      </w:r>
    </w:p>
    <w:p w:rsidR="00843B32" w:rsidRDefault="00F8537C">
      <w:pPr>
        <w:spacing w:after="73"/>
      </w:pPr>
      <w:r>
        <w:rPr>
          <w:b/>
          <w:sz w:val="25"/>
        </w:rPr>
        <w:t xml:space="preserve">Podstawowy poziom szkolenia </w:t>
      </w:r>
    </w:p>
    <w:p w:rsidR="00843B32" w:rsidRDefault="00F8537C">
      <w:pPr>
        <w:pStyle w:val="Nagwek3"/>
        <w:ind w:left="0" w:firstLine="0"/>
      </w:pPr>
      <w:r>
        <w:t>Kogo szkolić</w:t>
      </w:r>
    </w:p>
    <w:p w:rsidR="00843B32" w:rsidRDefault="00F8537C">
      <w:pPr>
        <w:spacing w:after="5" w:line="248" w:lineRule="auto"/>
        <w:ind w:left="-15" w:right="36" w:firstLine="340"/>
        <w:jc w:val="both"/>
      </w:pPr>
      <w:r w:rsidRPr="00A31E5D">
        <w:rPr>
          <w:b/>
          <w:color w:val="FF0000"/>
          <w:sz w:val="20"/>
        </w:rPr>
        <w:t>Podstawowe zabiegi resuscytacyjne BLS (</w:t>
      </w:r>
      <w:r w:rsidRPr="00A31E5D">
        <w:rPr>
          <w:b/>
          <w:i/>
          <w:color w:val="FF0000"/>
          <w:sz w:val="20"/>
        </w:rPr>
        <w:t>Basic Life Support</w:t>
      </w:r>
      <w:r w:rsidRPr="00A31E5D">
        <w:rPr>
          <w:b/>
          <w:color w:val="FF0000"/>
          <w:sz w:val="20"/>
        </w:rPr>
        <w:t>) są kamieniem węgielnym resuscytacji i dobrze udokumentowano, że prowadzona przez świadków RKO jest kluczowa dla przeż</w:t>
      </w:r>
      <w:r w:rsidRPr="00A31E5D">
        <w:rPr>
          <w:b/>
          <w:color w:val="FF0000"/>
          <w:sz w:val="20"/>
        </w:rPr>
        <w:t xml:space="preserve">ycia osoby z </w:t>
      </w:r>
      <w:r w:rsidRPr="00A31E5D">
        <w:rPr>
          <w:b/>
          <w:color w:val="FF0000"/>
          <w:sz w:val="20"/>
        </w:rPr>
        <w:lastRenderedPageBreak/>
        <w:t>pozaszpitalnym zatrzymaniem krążenia</w:t>
      </w:r>
      <w:r>
        <w:rPr>
          <w:sz w:val="20"/>
        </w:rPr>
        <w:t>. Uciśnięcia klat</w:t>
      </w:r>
      <w:r w:rsidR="00A31E5D">
        <w:rPr>
          <w:sz w:val="20"/>
        </w:rPr>
        <w:t>ki piersiowej oraz wczesna defi</w:t>
      </w:r>
      <w:r>
        <w:rPr>
          <w:sz w:val="20"/>
        </w:rPr>
        <w:t>brylacja są głównymi determinantami przeżycia w pozaszpitalnych zatrzymaniach krążenia. Ponadto istnieją dowody naukowe, że wprowadzenie kursów dla laików pop</w:t>
      </w:r>
      <w:r>
        <w:rPr>
          <w:sz w:val="20"/>
        </w:rPr>
        <w:t>rawiło odsetek przeżyć po 30 dniach i po roku</w:t>
      </w:r>
      <w:r>
        <w:rPr>
          <w:sz w:val="18"/>
          <w:vertAlign w:val="superscript"/>
        </w:rPr>
        <w:t>8,9</w:t>
      </w:r>
      <w:r>
        <w:rPr>
          <w:sz w:val="20"/>
        </w:rPr>
        <w:t>.</w:t>
      </w:r>
    </w:p>
    <w:p w:rsidR="00843B32" w:rsidRDefault="00F8537C">
      <w:pPr>
        <w:spacing w:after="5" w:line="248" w:lineRule="auto"/>
        <w:ind w:left="-15" w:right="36" w:firstLine="340"/>
        <w:jc w:val="both"/>
      </w:pPr>
      <w:r>
        <w:rPr>
          <w:sz w:val="20"/>
        </w:rPr>
        <w:t xml:space="preserve">Dlatego też zasadniczym celem edukacyjnym w resuscytacji powinny być kursy RKO dla laików. </w:t>
      </w:r>
      <w:r w:rsidRPr="00A31E5D">
        <w:rPr>
          <w:color w:val="FF0000"/>
          <w:sz w:val="20"/>
        </w:rPr>
        <w:t>Istnieją dowody naukowe, że szkolenia laików w zakresie BLS pozwalają skutecznie zwiększyć liczbę osób chcących pod</w:t>
      </w:r>
      <w:r w:rsidRPr="00A31E5D">
        <w:rPr>
          <w:color w:val="FF0000"/>
          <w:sz w:val="20"/>
        </w:rPr>
        <w:t>jąć BLS w sytuacji rzeczywistej.</w:t>
      </w:r>
      <w:r>
        <w:rPr>
          <w:sz w:val="20"/>
        </w:rPr>
        <w:t xml:space="preserve"> Pojęcie „laicy” jest szerokie, obejmuje osoby bez żadnego formalnego przygotowania medycznego, jak również te, od których można oczekiwać przeprowadzenia RKO (np. pracownicy ochrony, osoby udzielające pierwszej pomocy). Pom</w:t>
      </w:r>
      <w:r>
        <w:rPr>
          <w:sz w:val="20"/>
        </w:rPr>
        <w:t>imo większej dostępności kursów dla laików wciąż istnieje wśród nich niechęć do przeprowadzania RKO. Najczęściej wymieniane przyczyny to: strach przed infekcją, obawa przed niewłaściwym przeprowadzeniem RKO oraz lęk przed prawnymi implikacjami</w:t>
      </w:r>
      <w:r>
        <w:rPr>
          <w:sz w:val="18"/>
          <w:vertAlign w:val="superscript"/>
        </w:rPr>
        <w:t>13</w:t>
      </w:r>
      <w:r>
        <w:rPr>
          <w:sz w:val="20"/>
        </w:rPr>
        <w:t>.</w:t>
      </w:r>
    </w:p>
    <w:p w:rsidR="00843B32" w:rsidRDefault="00F8537C">
      <w:pPr>
        <w:spacing w:after="5" w:line="248" w:lineRule="auto"/>
        <w:ind w:left="340" w:right="36"/>
        <w:jc w:val="both"/>
      </w:pPr>
      <w:r>
        <w:rPr>
          <w:sz w:val="20"/>
        </w:rPr>
        <w:t>Kursy prz</w:t>
      </w:r>
      <w:r>
        <w:rPr>
          <w:sz w:val="20"/>
        </w:rPr>
        <w:t xml:space="preserve">eznaczone dla członków rodzin pacjentów </w:t>
      </w:r>
    </w:p>
    <w:p w:rsidR="00843B32" w:rsidRDefault="00F8537C">
      <w:pPr>
        <w:spacing w:after="44" w:line="248" w:lineRule="auto"/>
        <w:ind w:left="-15" w:right="867"/>
        <w:jc w:val="both"/>
      </w:pPr>
      <w:r>
        <w:rPr>
          <w:sz w:val="20"/>
        </w:rPr>
        <w:t>z grupy wysokiego ryzyka mogą zmniejszyć niepokój zarówno pacjenta, jak i jego krewnych, zwiększyć emocjonalne przystosowanie oraz dać uczucie pewności, że jest się w stanie rozpocząć RKO. Najnowsze dowody wskazują,</w:t>
      </w:r>
      <w:r>
        <w:rPr>
          <w:sz w:val="20"/>
        </w:rPr>
        <w:t xml:space="preserve"> że dla populacji wysokiego ryzyka (np. obszary, gdzie występuje wysokie ryzyko zatrzymania krążenia i niski wskaźnik reakcji świa</w:t>
      </w:r>
      <w:r w:rsidR="00A31E5D">
        <w:rPr>
          <w:sz w:val="20"/>
        </w:rPr>
        <w:t>dków zdarzenia) można zidentyfi</w:t>
      </w:r>
      <w:r>
        <w:rPr>
          <w:sz w:val="20"/>
        </w:rPr>
        <w:t>kować swoiste czynniki, ułatwiające przeprowadzenie celowan</w:t>
      </w:r>
      <w:r w:rsidR="00A31E5D">
        <w:rPr>
          <w:sz w:val="20"/>
        </w:rPr>
        <w:t>ych szkoleń w oparciu o specyfi</w:t>
      </w:r>
      <w:r>
        <w:rPr>
          <w:sz w:val="20"/>
        </w:rPr>
        <w:t>czn</w:t>
      </w:r>
      <w:r>
        <w:rPr>
          <w:sz w:val="20"/>
        </w:rPr>
        <w:t>e cechy społeczności</w:t>
      </w:r>
      <w:r>
        <w:rPr>
          <w:sz w:val="18"/>
          <w:vertAlign w:val="superscript"/>
        </w:rPr>
        <w:t>14,15</w:t>
      </w:r>
      <w:r>
        <w:rPr>
          <w:sz w:val="20"/>
        </w:rPr>
        <w:t>. Zostało udowodnione, że potencjalni ratownicy w tych populacjach niechętnie starają się o kursy na własną rękę, ale w trakcie szkoleń zdobywają umiejętności z zakresu BLS i/lub odpowiednią wiedzę</w:t>
      </w:r>
      <w:r>
        <w:rPr>
          <w:sz w:val="18"/>
          <w:vertAlign w:val="superscript"/>
        </w:rPr>
        <w:t>16-18</w:t>
      </w:r>
      <w:r>
        <w:rPr>
          <w:sz w:val="20"/>
        </w:rPr>
        <w:t>, chcą być szkoleni i chętnie</w:t>
      </w:r>
      <w:r>
        <w:rPr>
          <w:sz w:val="20"/>
        </w:rPr>
        <w:t xml:space="preserve"> dzielą się umiejętnościami z innymi</w:t>
      </w:r>
      <w:r>
        <w:rPr>
          <w:sz w:val="18"/>
          <w:vertAlign w:val="superscript"/>
        </w:rPr>
        <w:t>16,17,19-21</w:t>
      </w:r>
      <w:r>
        <w:rPr>
          <w:sz w:val="20"/>
        </w:rPr>
        <w:t>.</w:t>
      </w:r>
    </w:p>
    <w:p w:rsidR="00843B32" w:rsidRDefault="00F8537C">
      <w:pPr>
        <w:spacing w:after="5" w:line="248" w:lineRule="auto"/>
        <w:ind w:left="340" w:right="36"/>
        <w:jc w:val="both"/>
      </w:pPr>
      <w:r>
        <w:rPr>
          <w:sz w:val="20"/>
        </w:rPr>
        <w:t xml:space="preserve">Większość badań naukowych dotyczących nauczania </w:t>
      </w:r>
    </w:p>
    <w:p w:rsidR="00843B32" w:rsidRDefault="00F8537C">
      <w:pPr>
        <w:spacing w:after="5" w:line="248" w:lineRule="auto"/>
        <w:ind w:left="-15" w:right="868"/>
        <w:jc w:val="both"/>
      </w:pPr>
      <w:r>
        <w:rPr>
          <w:sz w:val="20"/>
        </w:rPr>
        <w:t>resuscytacji przeprowadzono na podstawie szkolenia dorosłych ratowników w zakresie resuscytacji dorosłych. Szkolenie dzieci i młodych dorosłych wymaga prawdop</w:t>
      </w:r>
      <w:r>
        <w:rPr>
          <w:sz w:val="20"/>
        </w:rPr>
        <w:t>odobnie innego podejścia, jednakże trzeba przeprowadzić więcej badań, aby określić najlepsze metody szkolenia tych grupy w zakresie podstawowych zabiegów resuscytacyjnych</w:t>
      </w:r>
      <w:r>
        <w:rPr>
          <w:sz w:val="18"/>
          <w:vertAlign w:val="superscript"/>
        </w:rPr>
        <w:t>22</w:t>
      </w:r>
      <w:r>
        <w:rPr>
          <w:sz w:val="20"/>
        </w:rPr>
        <w:t>.</w:t>
      </w:r>
    </w:p>
    <w:p w:rsidR="00843B32" w:rsidRDefault="00F8537C" w:rsidP="00A31E5D">
      <w:pPr>
        <w:spacing w:after="5" w:line="248" w:lineRule="auto"/>
        <w:ind w:left="-15" w:right="36" w:firstLine="340"/>
        <w:jc w:val="both"/>
      </w:pPr>
      <w:r w:rsidRPr="00A31E5D">
        <w:rPr>
          <w:b/>
          <w:noProof/>
          <w:color w:val="FF0000"/>
        </w:rPr>
        <mc:AlternateContent>
          <mc:Choice Requires="wpg">
            <w:drawing>
              <wp:anchor distT="0" distB="0" distL="114300" distR="114300" simplePos="0" relativeHeight="251659264" behindDoc="1" locked="0" layoutInCell="1" allowOverlap="1">
                <wp:simplePos x="0" y="0"/>
                <wp:positionH relativeFrom="column">
                  <wp:posOffset>-3405234</wp:posOffset>
                </wp:positionH>
                <wp:positionV relativeFrom="paragraph">
                  <wp:posOffset>-4523936</wp:posOffset>
                </wp:positionV>
                <wp:extent cx="6575717" cy="9497148"/>
                <wp:effectExtent l="0" t="0" r="0" b="0"/>
                <wp:wrapNone/>
                <wp:docPr id="62347" name="Group 62347"/>
                <wp:cNvGraphicFramePr/>
                <a:graphic xmlns:a="http://schemas.openxmlformats.org/drawingml/2006/main">
                  <a:graphicData uri="http://schemas.microsoft.com/office/word/2010/wordprocessingGroup">
                    <wpg:wgp>
                      <wpg:cNvGrpSpPr/>
                      <wpg:grpSpPr>
                        <a:xfrm>
                          <a:off x="0" y="0"/>
                          <a:ext cx="6575717" cy="9497148"/>
                          <a:chOff x="0" y="0"/>
                          <a:chExt cx="6575717" cy="9497148"/>
                        </a:xfrm>
                      </wpg:grpSpPr>
                      <wps:wsp>
                        <wps:cNvPr id="530" name="Rectangle 530"/>
                        <wps:cNvSpPr/>
                        <wps:spPr>
                          <a:xfrm rot="-3479999">
                            <a:off x="-2552996" y="2571035"/>
                            <a:ext cx="13855809" cy="1662172"/>
                          </a:xfrm>
                          <a:prstGeom prst="rect">
                            <a:avLst/>
                          </a:prstGeom>
                          <a:ln>
                            <a:noFill/>
                          </a:ln>
                        </wps:spPr>
                        <wps:txbx>
                          <w:txbxContent>
                            <w:p w:rsidR="00843B32" w:rsidRDefault="00F8537C">
                              <w:r>
                                <w:rPr>
                                  <w:rFonts w:ascii="Eras ITC" w:eastAsia="Eras ITC" w:hAnsi="Eras ITC" w:cs="Eras ITC"/>
                                  <w:b/>
                                  <w:color w:val="E7E7E7"/>
                                  <w:sz w:val="170"/>
                                </w:rPr>
                                <w:t>www.prc.krakow.pl</w:t>
                              </w:r>
                            </w:p>
                          </w:txbxContent>
                        </wps:txbx>
                        <wps:bodyPr horzOverflow="overflow" vert="horz" lIns="0" tIns="0" rIns="0" bIns="0" rtlCol="0">
                          <a:noAutofit/>
                        </wps:bodyPr>
                      </wps:wsp>
                      <wps:wsp>
                        <wps:cNvPr id="531" name="Shape 531"/>
                        <wps:cNvSpPr/>
                        <wps:spPr>
                          <a:xfrm>
                            <a:off x="309291" y="69619"/>
                            <a:ext cx="5975997" cy="0"/>
                          </a:xfrm>
                          <a:custGeom>
                            <a:avLst/>
                            <a:gdLst/>
                            <a:ahLst/>
                            <a:cxnLst/>
                            <a:rect l="0" t="0" r="0" b="0"/>
                            <a:pathLst>
                              <a:path w="5975997">
                                <a:moveTo>
                                  <a:pt x="0" y="0"/>
                                </a:moveTo>
                                <a:lnTo>
                                  <a:pt x="5975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347" style="width:517.773pt;height:747.807pt;position:absolute;z-index:-2147483644;mso-position-horizontal-relative:text;mso-position-horizontal:absolute;margin-left:-268.129pt;mso-position-vertical-relative:text;margin-top:-356.215pt;" coordsize="65757,94971">
                <v:rect id="Rectangle 530" style="position:absolute;width:138558;height:16621;left:-25529;top:25710;rotation:270;" filled="f" stroked="f">
                  <v:textbox inset="0,0,0,0" style="layout-flow:vertical;mso-layout-flow-alt:bottom-to-top">
                    <w:txbxContent>
                      <w:p>
                        <w:pPr>
                          <w:spacing w:before="0" w:after="160" w:line="259" w:lineRule="auto"/>
                        </w:pPr>
                        <w:r>
                          <w:rPr>
                            <w:rFonts w:cs="Eras ITC" w:hAnsi="Eras ITC" w:eastAsia="Eras ITC" w:ascii="Eras ITC"/>
                            <w:b w:val="1"/>
                            <w:color w:val="e7e7e7"/>
                            <w:sz w:val="170"/>
                          </w:rPr>
                          <w:t xml:space="preserve">www.prc.krakow.pl</w:t>
                        </w:r>
                      </w:p>
                    </w:txbxContent>
                  </v:textbox>
                </v:rect>
                <v:shape id="Shape 531" style="position:absolute;width:59759;height:0;left:3092;top:696;" coordsize="5975997,0" path="m0,0l5975997,0">
                  <v:stroke weight="0.5pt" endcap="flat" joinstyle="miter" miterlimit="10" on="true" color="#000000"/>
                  <v:fill on="false" color="#000000" opacity="0"/>
                </v:shape>
              </v:group>
            </w:pict>
          </mc:Fallback>
        </mc:AlternateContent>
      </w:r>
      <w:r w:rsidRPr="00A31E5D">
        <w:rPr>
          <w:b/>
          <w:color w:val="FF0000"/>
          <w:sz w:val="20"/>
        </w:rPr>
        <w:t>Jednym z najważniejszych kroków, które trzeba podjąć, aby zwi</w:t>
      </w:r>
      <w:r w:rsidRPr="00A31E5D">
        <w:rPr>
          <w:b/>
          <w:color w:val="FF0000"/>
          <w:sz w:val="20"/>
        </w:rPr>
        <w:t>ększyć odsetek przeprowadzania resuscytacji wśród świadków zdarzenia oraz aby poprawić przeżycia na całym świecie, jest nauczanie wszystkich dzieci w szkołach.</w:t>
      </w:r>
      <w:r w:rsidRPr="00A31E5D">
        <w:rPr>
          <w:b/>
          <w:i/>
          <w:color w:val="FF0000"/>
          <w:sz w:val="20"/>
        </w:rPr>
        <w:t xml:space="preserve"> </w:t>
      </w:r>
      <w:r w:rsidRPr="00A31E5D">
        <w:rPr>
          <w:b/>
          <w:color w:val="FF0000"/>
          <w:sz w:val="20"/>
        </w:rPr>
        <w:t>American Heart Association zaleciła w 2011 r. obowiązkowe szkolenia z zakresu resuscytacji w ame</w:t>
      </w:r>
      <w:r w:rsidRPr="00A31E5D">
        <w:rPr>
          <w:b/>
          <w:color w:val="FF0000"/>
          <w:sz w:val="20"/>
        </w:rPr>
        <w:t>rykańskich szkołach</w:t>
      </w:r>
      <w:r w:rsidRPr="00A31E5D">
        <w:rPr>
          <w:b/>
          <w:color w:val="FF0000"/>
          <w:sz w:val="18"/>
          <w:vertAlign w:val="superscript"/>
        </w:rPr>
        <w:t>23</w:t>
      </w:r>
      <w:r w:rsidRPr="00A31E5D">
        <w:rPr>
          <w:b/>
          <w:color w:val="FF0000"/>
          <w:sz w:val="20"/>
        </w:rPr>
        <w:t>. Wcześniejsze doświadczenia z nauczania RKO uczniów w Seattle w przeciągu 3 dekad pozwoliło stwierdzić znaczne zwiększenie częstotliwości przeprowadzania RKO przez świadków zdarzenia oraz zwiększenie odsetka przeżyć. Podobnie skandyna</w:t>
      </w:r>
      <w:r w:rsidRPr="00A31E5D">
        <w:rPr>
          <w:b/>
          <w:color w:val="FF0000"/>
          <w:sz w:val="20"/>
        </w:rPr>
        <w:t>wskie programy resuscytacyjne dla szkół informują o znacznie większej częstotliwości resuscytacji</w:t>
      </w:r>
      <w:r w:rsidRPr="00A31E5D">
        <w:rPr>
          <w:b/>
          <w:color w:val="FF0000"/>
          <w:sz w:val="18"/>
          <w:vertAlign w:val="superscript"/>
        </w:rPr>
        <w:t>24</w:t>
      </w:r>
      <w:r w:rsidRPr="00A31E5D">
        <w:rPr>
          <w:b/>
          <w:color w:val="FF0000"/>
          <w:sz w:val="20"/>
        </w:rPr>
        <w:t>. Można to łatwo osiągnąć poprzez kształcenie dzieci w wymiarze zaledwie dwóch godzin rocznie, rozpoczynając szkolenie w wieku 12 lat</w:t>
      </w:r>
      <w:r w:rsidRPr="00A31E5D">
        <w:rPr>
          <w:b/>
          <w:color w:val="FF0000"/>
          <w:sz w:val="18"/>
          <w:vertAlign w:val="superscript"/>
        </w:rPr>
        <w:t>22</w:t>
      </w:r>
      <w:r w:rsidRPr="00A31E5D">
        <w:rPr>
          <w:b/>
          <w:color w:val="FF0000"/>
          <w:sz w:val="20"/>
        </w:rPr>
        <w:t>. W tym wieku uczniowi</w:t>
      </w:r>
      <w:r w:rsidRPr="00A31E5D">
        <w:rPr>
          <w:b/>
          <w:color w:val="FF0000"/>
          <w:sz w:val="20"/>
        </w:rPr>
        <w:t xml:space="preserve">e </w:t>
      </w:r>
      <w:r w:rsidRPr="00A31E5D">
        <w:rPr>
          <w:b/>
          <w:color w:val="FF0000"/>
          <w:sz w:val="20"/>
        </w:rPr>
        <w:t>są nastawieni pozytywnie do nauki resuscytacji. Zarówno osoby z wykształceniem medycznym, jak i nauczycieli należy odpowiednio przeszkolić, aby mogli zmaksymalizować potencjał dzieci</w:t>
      </w:r>
      <w:r w:rsidRPr="00A31E5D">
        <w:rPr>
          <w:b/>
          <w:color w:val="FF0000"/>
          <w:sz w:val="18"/>
          <w:vertAlign w:val="superscript"/>
        </w:rPr>
        <w:t>25</w:t>
      </w:r>
      <w:r w:rsidRPr="00A31E5D">
        <w:rPr>
          <w:b/>
          <w:color w:val="FF0000"/>
          <w:sz w:val="20"/>
        </w:rPr>
        <w:t>. Uczniowie i ich nauczyciele są multiplikatorami resuscytacji w środo</w:t>
      </w:r>
      <w:r w:rsidRPr="00A31E5D">
        <w:rPr>
          <w:b/>
          <w:color w:val="FF0000"/>
          <w:sz w:val="20"/>
        </w:rPr>
        <w:t xml:space="preserve">wisku prywatnym i obszarze społecznym, ponieważ dzieci przekazują swoją wiedzę członkom swoich rodzin. Odsetek osób przeszkolonych w społeczeństwie znacząco wzrośnie na przestrzeni dłuższego okresu </w:t>
      </w:r>
      <w:r w:rsidRPr="00A31E5D">
        <w:rPr>
          <w:b/>
          <w:color w:val="FF0000"/>
          <w:sz w:val="50"/>
          <w:shd w:val="clear" w:color="auto" w:fill="7C7C7C"/>
        </w:rPr>
        <w:t xml:space="preserve">10 </w:t>
      </w:r>
      <w:r w:rsidRPr="00A31E5D">
        <w:rPr>
          <w:b/>
          <w:color w:val="FF0000"/>
          <w:sz w:val="20"/>
        </w:rPr>
        <w:t>czasu, prowadząc do zwiększenia częstotliwoś</w:t>
      </w:r>
      <w:r w:rsidRPr="00A31E5D">
        <w:rPr>
          <w:b/>
          <w:color w:val="FF0000"/>
          <w:sz w:val="20"/>
        </w:rPr>
        <w:t>ci resuscytacji przeprowadzanych przez laików</w:t>
      </w:r>
      <w:r w:rsidRPr="00A31E5D">
        <w:rPr>
          <w:b/>
          <w:color w:val="FF0000"/>
          <w:sz w:val="18"/>
          <w:vertAlign w:val="superscript"/>
        </w:rPr>
        <w:t>26</w:t>
      </w:r>
      <w:r w:rsidRPr="00A31E5D">
        <w:rPr>
          <w:b/>
          <w:color w:val="FF0000"/>
          <w:sz w:val="20"/>
        </w:rPr>
        <w:t>.</w:t>
      </w:r>
      <w:r>
        <w:rPr>
          <w:sz w:val="20"/>
        </w:rPr>
        <w:t>.</w:t>
      </w:r>
    </w:p>
    <w:p w:rsidR="00843B32" w:rsidRDefault="00F8537C">
      <w:pPr>
        <w:pStyle w:val="Nagwek3"/>
        <w:ind w:left="908"/>
      </w:pPr>
      <w:r>
        <w:t>Jak szkoli</w:t>
      </w:r>
      <w:r>
        <w:t>ć</w:t>
      </w:r>
    </w:p>
    <w:p w:rsidR="00843B32" w:rsidRDefault="00F8537C">
      <w:pPr>
        <w:spacing w:after="32" w:line="236" w:lineRule="auto"/>
        <w:ind w:left="913" w:right="35" w:firstLine="340"/>
        <w:jc w:val="both"/>
      </w:pPr>
      <w:r>
        <w:rPr>
          <w:noProof/>
        </w:rPr>
        <mc:AlternateContent>
          <mc:Choice Requires="wpg">
            <w:drawing>
              <wp:anchor distT="0" distB="0" distL="114300" distR="114300" simplePos="0" relativeHeight="251660288" behindDoc="1" locked="0" layoutInCell="1" allowOverlap="1">
                <wp:simplePos x="0" y="0"/>
                <wp:positionH relativeFrom="column">
                  <wp:posOffset>300346</wp:posOffset>
                </wp:positionH>
                <wp:positionV relativeFrom="paragraph">
                  <wp:posOffset>-3132258</wp:posOffset>
                </wp:positionV>
                <wp:extent cx="6575717" cy="9497147"/>
                <wp:effectExtent l="0" t="0" r="0" b="0"/>
                <wp:wrapNone/>
                <wp:docPr id="59375" name="Group 59375"/>
                <wp:cNvGraphicFramePr/>
                <a:graphic xmlns:a="http://schemas.openxmlformats.org/drawingml/2006/main">
                  <a:graphicData uri="http://schemas.microsoft.com/office/word/2010/wordprocessingGroup">
                    <wpg:wgp>
                      <wpg:cNvGrpSpPr/>
                      <wpg:grpSpPr>
                        <a:xfrm>
                          <a:off x="0" y="0"/>
                          <a:ext cx="6575717" cy="9497147"/>
                          <a:chOff x="0" y="0"/>
                          <a:chExt cx="6575717" cy="9497147"/>
                        </a:xfrm>
                      </wpg:grpSpPr>
                      <wps:wsp>
                        <wps:cNvPr id="1214" name="Rectangle 1214"/>
                        <wps:cNvSpPr/>
                        <wps:spPr>
                          <a:xfrm rot="-3479999">
                            <a:off x="-2552996" y="2571035"/>
                            <a:ext cx="13855809" cy="1662172"/>
                          </a:xfrm>
                          <a:prstGeom prst="rect">
                            <a:avLst/>
                          </a:prstGeom>
                          <a:ln>
                            <a:noFill/>
                          </a:ln>
                        </wps:spPr>
                        <wps:txbx>
                          <w:txbxContent>
                            <w:p w:rsidR="00843B32" w:rsidRDefault="00F8537C">
                              <w:r>
                                <w:rPr>
                                  <w:rFonts w:ascii="Eras ITC" w:eastAsia="Eras ITC" w:hAnsi="Eras ITC" w:cs="Eras ITC"/>
                                  <w:b/>
                                  <w:color w:val="E7E7E7"/>
                                  <w:sz w:val="170"/>
                                </w:rPr>
                                <w:t>www.prc.krakow.pl</w:t>
                              </w:r>
                            </w:p>
                          </w:txbxContent>
                        </wps:txbx>
                        <wps:bodyPr horzOverflow="overflow" vert="horz" lIns="0" tIns="0" rIns="0" bIns="0" rtlCol="0">
                          <a:noAutofit/>
                        </wps:bodyPr>
                      </wps:wsp>
                      <wps:wsp>
                        <wps:cNvPr id="1215" name="Shape 1215"/>
                        <wps:cNvSpPr/>
                        <wps:spPr>
                          <a:xfrm>
                            <a:off x="279690" y="49543"/>
                            <a:ext cx="5975998" cy="0"/>
                          </a:xfrm>
                          <a:custGeom>
                            <a:avLst/>
                            <a:gdLst/>
                            <a:ahLst/>
                            <a:cxnLst/>
                            <a:rect l="0" t="0" r="0" b="0"/>
                            <a:pathLst>
                              <a:path w="5975998">
                                <a:moveTo>
                                  <a:pt x="0" y="0"/>
                                </a:moveTo>
                                <a:lnTo>
                                  <a:pt x="597599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375" style="width:517.773pt;height:747.807pt;position:absolute;z-index:-2147483644;mso-position-horizontal-relative:text;mso-position-horizontal:absolute;margin-left:23.6493pt;mso-position-vertical-relative:text;margin-top:-246.635pt;" coordsize="65757,94971">
                <v:rect id="Rectangle 1214" style="position:absolute;width:138558;height:16621;left:-25529;top:25710;rotation:270;" filled="f" stroked="f">
                  <v:textbox inset="0,0,0,0" style="layout-flow:vertical;mso-layout-flow-alt:bottom-to-top">
                    <w:txbxContent>
                      <w:p>
                        <w:pPr>
                          <w:spacing w:before="0" w:after="160" w:line="259" w:lineRule="auto"/>
                        </w:pPr>
                        <w:r>
                          <w:rPr>
                            <w:rFonts w:cs="Eras ITC" w:hAnsi="Eras ITC" w:eastAsia="Eras ITC" w:ascii="Eras ITC"/>
                            <w:b w:val="1"/>
                            <w:color w:val="e7e7e7"/>
                            <w:sz w:val="170"/>
                          </w:rPr>
                          <w:t xml:space="preserve">www.prc.krakow.pl</w:t>
                        </w:r>
                      </w:p>
                    </w:txbxContent>
                  </v:textbox>
                </v:rect>
                <v:shape id="Shape 1215" style="position:absolute;width:59759;height:0;left:2796;top:495;" coordsize="5975998,0" path="m0,0l5975998,0">
                  <v:stroke weight="0.5pt" endcap="flat" joinstyle="miter" miterlimit="10" on="true" color="#000000"/>
                  <v:fill on="false" color="#000000" opacity="0"/>
                </v:shape>
              </v:group>
            </w:pict>
          </mc:Fallback>
        </mc:AlternateContent>
      </w:r>
      <w:r>
        <w:rPr>
          <w:sz w:val="20"/>
        </w:rPr>
        <w:t xml:space="preserve">Programy nauczania BLS/AED powinny być dostosowane do docelowych odbiorców oraz możliwie uproszczone. Zwiększony dostęp do różnego typu szkoleń (np. z użyciem mediów cyfrowych i </w:t>
      </w:r>
      <w:r>
        <w:rPr>
          <w:i/>
          <w:sz w:val="20"/>
        </w:rPr>
        <w:t>on-line</w:t>
      </w:r>
      <w:r>
        <w:rPr>
          <w:sz w:val="20"/>
        </w:rPr>
        <w:t>, kursy prowadzone przez instruktorów) i samodzielna nauka pozwoliły stworzyć alternatywne metody nauczania zarówno laików, jak i profesjonalistów. Skuteczność nauczania z wykorzystaniem różnych metod w różnych proporcjach pozostaje nieznana i wymaga dalsz</w:t>
      </w:r>
      <w:r>
        <w:rPr>
          <w:sz w:val="20"/>
        </w:rPr>
        <w:t>ych badań nie tylko, aby znaleźć zależność bezpośrednich wyników szkolenia od metodologii naucz</w:t>
      </w:r>
      <w:r w:rsidR="00A31E5D">
        <w:rPr>
          <w:sz w:val="20"/>
        </w:rPr>
        <w:t>ania, ale również aby zidentyfi</w:t>
      </w:r>
      <w:r>
        <w:rPr>
          <w:sz w:val="20"/>
        </w:rPr>
        <w:t xml:space="preserve">kować wpływ na wyniki końcowe w przypadku zatrzymania krążenia w życiu realnym. </w:t>
      </w:r>
      <w:r w:rsidRPr="00A31E5D">
        <w:rPr>
          <w:color w:val="FF0000"/>
          <w:sz w:val="20"/>
        </w:rPr>
        <w:t xml:space="preserve">Kurs powinien być dostosowany do potrzeb różnych </w:t>
      </w:r>
      <w:r w:rsidRPr="00A31E5D">
        <w:rPr>
          <w:color w:val="FF0000"/>
          <w:sz w:val="20"/>
        </w:rPr>
        <w:t xml:space="preserve">odbiorców i wykorzystywać różnorodne metody nauczania tak, aby zapewnić przyswojenie i zapamiętanie wiedzy i umiejętności dotyczących resuscytacji. </w:t>
      </w:r>
      <w:r>
        <w:rPr>
          <w:sz w:val="20"/>
        </w:rPr>
        <w:t>Programy do samokształcenia z instruktażem, z synchronicznym lub asynchronicznym wykonywaniem ćwiczeń (np. w</w:t>
      </w:r>
      <w:r>
        <w:rPr>
          <w:sz w:val="20"/>
        </w:rPr>
        <w:t xml:space="preserve">ideo, DVD, kurs </w:t>
      </w:r>
      <w:r>
        <w:rPr>
          <w:i/>
          <w:sz w:val="20"/>
        </w:rPr>
        <w:t>on-line</w:t>
      </w:r>
      <w:r>
        <w:rPr>
          <w:sz w:val="20"/>
        </w:rPr>
        <w:t>, komputer udzielający informacji zwrotnej podczas ćwiczeń) zdają się być skuteczną alternatywą dla kursów BLS prowadzonych przez instruktorów, przeznaczonych zarówno dla laików, jak i pracowników systemu ochrony zdrowia</w:t>
      </w:r>
      <w:r>
        <w:rPr>
          <w:sz w:val="18"/>
          <w:vertAlign w:val="superscript"/>
        </w:rPr>
        <w:t>31-35</w:t>
      </w:r>
      <w:r>
        <w:rPr>
          <w:sz w:val="20"/>
        </w:rPr>
        <w:t>.</w:t>
      </w:r>
    </w:p>
    <w:p w:rsidR="00843B32" w:rsidRDefault="00F8537C">
      <w:pPr>
        <w:spacing w:after="256" w:line="236" w:lineRule="auto"/>
        <w:ind w:left="913" w:right="35" w:firstLine="340"/>
        <w:jc w:val="both"/>
      </w:pPr>
      <w:r>
        <w:rPr>
          <w:sz w:val="20"/>
        </w:rPr>
        <w:t>Osoby,</w:t>
      </w:r>
      <w:r>
        <w:rPr>
          <w:sz w:val="20"/>
        </w:rPr>
        <w:t xml:space="preserve"> od których oczekuje się, że będą często prowadzić RKO, muszą znać aktualne wytyczne i umieć efektywnie je wykorzystywać, pracując w multidyscyplinarnych zespołach. Takie osoby potrzebują kompleksowych szkoleń zarówno z zakresu umiejętności merytorycznych,</w:t>
      </w:r>
      <w:r>
        <w:rPr>
          <w:sz w:val="20"/>
        </w:rPr>
        <w:t xml:space="preserve"> jak i pozamerytorycznych (praca w zespole, kierowanie zespołem, umiejętność komunikacji)</w:t>
      </w:r>
      <w:r>
        <w:rPr>
          <w:sz w:val="18"/>
          <w:vertAlign w:val="superscript"/>
        </w:rPr>
        <w:t>36,37</w:t>
      </w:r>
      <w:r>
        <w:rPr>
          <w:sz w:val="20"/>
        </w:rPr>
        <w:t>.</w:t>
      </w:r>
    </w:p>
    <w:p w:rsidR="00843B32" w:rsidRDefault="00F8537C">
      <w:pPr>
        <w:pStyle w:val="Nagwek3"/>
        <w:spacing w:after="205"/>
        <w:ind w:left="908"/>
      </w:pPr>
      <w:r>
        <w:lastRenderedPageBreak/>
        <w:t>Programy nauczania podstawowych zabiegów resuscytacyjnych i AED</w:t>
      </w:r>
    </w:p>
    <w:p w:rsidR="00843B32" w:rsidRDefault="00F8537C" w:rsidP="00A31E5D">
      <w:pPr>
        <w:tabs>
          <w:tab w:val="right" w:pos="5498"/>
        </w:tabs>
        <w:spacing w:after="3" w:line="236" w:lineRule="auto"/>
        <w:ind w:left="-15"/>
      </w:pPr>
      <w:r>
        <w:rPr>
          <w:sz w:val="50"/>
          <w:shd w:val="clear" w:color="auto" w:fill="7C7C7C"/>
        </w:rPr>
        <w:t>10</w:t>
      </w:r>
      <w:r>
        <w:rPr>
          <w:sz w:val="50"/>
          <w:shd w:val="clear" w:color="auto" w:fill="7C7C7C"/>
        </w:rPr>
        <w:tab/>
      </w:r>
      <w:r>
        <w:rPr>
          <w:sz w:val="20"/>
        </w:rPr>
        <w:t>Jak wskazują dowody, l</w:t>
      </w:r>
      <w:r w:rsidR="00A31E5D">
        <w:rPr>
          <w:sz w:val="20"/>
        </w:rPr>
        <w:t>aicy są w stanie nie tylko efek</w:t>
      </w:r>
      <w:r>
        <w:rPr>
          <w:sz w:val="20"/>
        </w:rPr>
        <w:t>tywnie uczyć się RKO, ale również przy</w:t>
      </w:r>
      <w:r>
        <w:rPr>
          <w:sz w:val="20"/>
        </w:rPr>
        <w:t>swoić wiedzę o używaniu AED</w:t>
      </w:r>
      <w:r>
        <w:rPr>
          <w:sz w:val="18"/>
          <w:vertAlign w:val="superscript"/>
        </w:rPr>
        <w:t>38</w:t>
      </w:r>
      <w:r>
        <w:rPr>
          <w:sz w:val="20"/>
        </w:rPr>
        <w:t xml:space="preserve">. </w:t>
      </w:r>
      <w:r w:rsidRPr="00A31E5D">
        <w:rPr>
          <w:b/>
          <w:color w:val="FF0000"/>
          <w:sz w:val="20"/>
        </w:rPr>
        <w:t>Wprowadzenie progra</w:t>
      </w:r>
      <w:r w:rsidR="00A31E5D" w:rsidRPr="00A31E5D">
        <w:rPr>
          <w:b/>
          <w:color w:val="FF0000"/>
          <w:sz w:val="20"/>
        </w:rPr>
        <w:t>mów publicznego dostępu do defi</w:t>
      </w:r>
      <w:r w:rsidRPr="00A31E5D">
        <w:rPr>
          <w:b/>
          <w:color w:val="FF0000"/>
          <w:sz w:val="20"/>
        </w:rPr>
        <w:t>brylacji (</w:t>
      </w:r>
      <w:r w:rsidRPr="00A31E5D">
        <w:rPr>
          <w:b/>
          <w:i/>
          <w:color w:val="FF0000"/>
          <w:sz w:val="20"/>
        </w:rPr>
        <w:t>Public Access Defi brillator</w:t>
      </w:r>
      <w:r w:rsidRPr="00A31E5D">
        <w:rPr>
          <w:b/>
          <w:color w:val="FF0000"/>
          <w:sz w:val="20"/>
        </w:rPr>
        <w:t xml:space="preserve"> – PAD) pokazało skutecznoś</w:t>
      </w:r>
      <w:r w:rsidR="00A31E5D">
        <w:rPr>
          <w:b/>
          <w:color w:val="FF0000"/>
          <w:sz w:val="20"/>
        </w:rPr>
        <w:t>ć laików w przeprowadzaniu defi</w:t>
      </w:r>
      <w:r w:rsidRPr="00A31E5D">
        <w:rPr>
          <w:b/>
          <w:color w:val="FF0000"/>
          <w:sz w:val="20"/>
        </w:rPr>
        <w:t>brylacji</w:t>
      </w:r>
      <w:r w:rsidRPr="00A31E5D">
        <w:rPr>
          <w:b/>
          <w:color w:val="FF0000"/>
          <w:sz w:val="18"/>
          <w:vertAlign w:val="superscript"/>
        </w:rPr>
        <w:t>39</w:t>
      </w:r>
      <w:r>
        <w:rPr>
          <w:sz w:val="20"/>
        </w:rPr>
        <w:t>. Pozostaje jednak pytanie, czy laicy potrzebują szkoleń do używani</w:t>
      </w:r>
      <w:r w:rsidR="00A31E5D">
        <w:rPr>
          <w:sz w:val="20"/>
        </w:rPr>
        <w:t>a AED, czy potrafi</w:t>
      </w:r>
      <w:r>
        <w:rPr>
          <w:sz w:val="20"/>
        </w:rPr>
        <w:t>ą użyć ich bez wcześniejszego treningu</w:t>
      </w:r>
      <w:r>
        <w:rPr>
          <w:sz w:val="18"/>
          <w:vertAlign w:val="superscript"/>
        </w:rPr>
        <w:t>40</w:t>
      </w:r>
      <w:r>
        <w:rPr>
          <w:sz w:val="20"/>
        </w:rPr>
        <w:t>. Programy nauczania podstawowych zabiegów resuscytacyjnych i AED powinny być dostosowane do docelowych odbiorców oraz możliwie uproszczone. Niezależnie od wybranej metodologii w programach nauczan</w:t>
      </w:r>
      <w:r>
        <w:rPr>
          <w:sz w:val="20"/>
        </w:rPr>
        <w:t>ia BLS i AED następujące elementy powinny być uważane za kluczowe:</w:t>
      </w:r>
    </w:p>
    <w:p w:rsidR="00843B32" w:rsidRPr="00A31E5D" w:rsidRDefault="00F8537C">
      <w:pPr>
        <w:numPr>
          <w:ilvl w:val="0"/>
          <w:numId w:val="3"/>
        </w:numPr>
        <w:spacing w:after="3" w:line="236" w:lineRule="auto"/>
        <w:ind w:right="35" w:hanging="340"/>
        <w:jc w:val="both"/>
        <w:rPr>
          <w:color w:val="FF0000"/>
        </w:rPr>
      </w:pPr>
      <w:r w:rsidRPr="00A31E5D">
        <w:rPr>
          <w:color w:val="FF0000"/>
          <w:sz w:val="20"/>
        </w:rPr>
        <w:t>Gotowość do podjęcia RKO, włączając świadomość ryzyka, związanego z osobą i środowiskiem.</w:t>
      </w:r>
    </w:p>
    <w:p w:rsidR="00843B32" w:rsidRPr="00A31E5D" w:rsidRDefault="00F8537C">
      <w:pPr>
        <w:numPr>
          <w:ilvl w:val="0"/>
          <w:numId w:val="3"/>
        </w:numPr>
        <w:spacing w:after="62" w:line="236" w:lineRule="auto"/>
        <w:ind w:right="35" w:hanging="340"/>
        <w:jc w:val="both"/>
        <w:rPr>
          <w:color w:val="FF0000"/>
        </w:rPr>
      </w:pPr>
      <w:r w:rsidRPr="00A31E5D">
        <w:rPr>
          <w:color w:val="FF0000"/>
          <w:sz w:val="20"/>
        </w:rPr>
        <w:t xml:space="preserve">Rozpoznanie utraty przytomności, oddechów określanych jako </w:t>
      </w:r>
      <w:r w:rsidRPr="00A31E5D">
        <w:rPr>
          <w:i/>
          <w:color w:val="FF0000"/>
          <w:sz w:val="20"/>
        </w:rPr>
        <w:t>gasping</w:t>
      </w:r>
      <w:r w:rsidRPr="00A31E5D">
        <w:rPr>
          <w:color w:val="FF0000"/>
          <w:sz w:val="20"/>
        </w:rPr>
        <w:t xml:space="preserve"> lub oddechów agonalnych u osób n</w:t>
      </w:r>
      <w:r w:rsidRPr="00A31E5D">
        <w:rPr>
          <w:color w:val="FF0000"/>
          <w:sz w:val="20"/>
        </w:rPr>
        <w:t>iereagujących na bodźce, udrożnienie dróg oddechowych i ocenę oddychania w celu potwierdzenia zatrzymania krążenia</w:t>
      </w:r>
      <w:r w:rsidRPr="00A31E5D">
        <w:rPr>
          <w:color w:val="FF0000"/>
          <w:sz w:val="12"/>
        </w:rPr>
        <w:t>41,42</w:t>
      </w:r>
      <w:r w:rsidRPr="00A31E5D">
        <w:rPr>
          <w:color w:val="FF0000"/>
          <w:sz w:val="20"/>
        </w:rPr>
        <w:t>.</w:t>
      </w:r>
    </w:p>
    <w:p w:rsidR="00843B32" w:rsidRPr="00A31E5D" w:rsidRDefault="00F8537C">
      <w:pPr>
        <w:numPr>
          <w:ilvl w:val="0"/>
          <w:numId w:val="3"/>
        </w:numPr>
        <w:spacing w:after="3" w:line="236" w:lineRule="auto"/>
        <w:ind w:right="35" w:hanging="340"/>
        <w:jc w:val="both"/>
        <w:rPr>
          <w:color w:val="FF0000"/>
        </w:rPr>
      </w:pPr>
      <w:r w:rsidRPr="00A31E5D">
        <w:rPr>
          <w:color w:val="FF0000"/>
          <w:sz w:val="20"/>
        </w:rPr>
        <w:t>Dobrej jakości uciśnięcia klatki piersiowej (pod względem częstotliwości, głębokości, pełnego powrotu do wyjściowego kształ</w:t>
      </w:r>
      <w:r w:rsidRPr="00A31E5D">
        <w:rPr>
          <w:color w:val="FF0000"/>
          <w:sz w:val="20"/>
        </w:rPr>
        <w:t>tu oraz mnimalizowania przerw w uciśnięciach) i oddechy ratownicze (czas wykonywania wdechu i objętość).</w:t>
      </w:r>
    </w:p>
    <w:p w:rsidR="00843B32" w:rsidRPr="00A31E5D" w:rsidRDefault="00F8537C">
      <w:pPr>
        <w:numPr>
          <w:ilvl w:val="0"/>
          <w:numId w:val="3"/>
        </w:numPr>
        <w:spacing w:after="247" w:line="236" w:lineRule="auto"/>
        <w:ind w:right="35" w:hanging="340"/>
        <w:jc w:val="both"/>
        <w:rPr>
          <w:color w:val="FF0000"/>
        </w:rPr>
      </w:pPr>
      <w:r w:rsidRPr="00A31E5D">
        <w:rPr>
          <w:color w:val="FF0000"/>
          <w:sz w:val="20"/>
        </w:rPr>
        <w:t>Informacja zwrotna/instrukcje (informacja zwrotna od osoby z zespołu resuscytacyjnego i/lub urządzeń) podczas szkoleń z RKO w celu poprawy przyswajania</w:t>
      </w:r>
      <w:r w:rsidRPr="00A31E5D">
        <w:rPr>
          <w:color w:val="FF0000"/>
          <w:sz w:val="20"/>
        </w:rPr>
        <w:t xml:space="preserve"> umiejętności i ich utrwalania w trakcie kursów podstawowych zabiegów resuscytacyjnych</w:t>
      </w:r>
      <w:r w:rsidRPr="00A31E5D">
        <w:rPr>
          <w:color w:val="FF0000"/>
          <w:sz w:val="18"/>
          <w:vertAlign w:val="superscript"/>
        </w:rPr>
        <w:t>43</w:t>
      </w:r>
      <w:r w:rsidRPr="00A31E5D">
        <w:rPr>
          <w:color w:val="FF0000"/>
          <w:sz w:val="20"/>
        </w:rPr>
        <w:t>.</w:t>
      </w:r>
    </w:p>
    <w:p w:rsidR="00843B32" w:rsidRDefault="00F8537C">
      <w:pPr>
        <w:pStyle w:val="Nagwek3"/>
      </w:pPr>
      <w:r>
        <w:t>Nauczanie standardowej RKO w porównaniu z RKO z wyłącznym uciskaniem klatki piersiowej</w:t>
      </w:r>
    </w:p>
    <w:p w:rsidR="00843B32" w:rsidRDefault="00F8537C">
      <w:pPr>
        <w:spacing w:after="0"/>
        <w:ind w:right="50"/>
        <w:jc w:val="right"/>
      </w:pPr>
      <w:r>
        <w:rPr>
          <w:sz w:val="20"/>
        </w:rPr>
        <w:t>Rola standardowej RKO w porównaniu z RKO z wy-</w:t>
      </w:r>
    </w:p>
    <w:p w:rsidR="00843B32" w:rsidRDefault="00F8537C">
      <w:pPr>
        <w:spacing w:after="3" w:line="236" w:lineRule="auto"/>
        <w:ind w:left="-15" w:right="35"/>
        <w:jc w:val="both"/>
      </w:pPr>
      <w:r>
        <w:rPr>
          <w:sz w:val="20"/>
        </w:rPr>
        <w:t>łą</w:t>
      </w:r>
      <w:r>
        <w:rPr>
          <w:sz w:val="20"/>
        </w:rPr>
        <w:t>cznym uciskaniem klatki piersiowej została omówiona w rozdziale poświęconym podstawowym zabiegom resuscytacyjnym tych Wytycznych ERC</w:t>
      </w:r>
      <w:r>
        <w:rPr>
          <w:sz w:val="18"/>
          <w:vertAlign w:val="superscript"/>
        </w:rPr>
        <w:t>42</w:t>
      </w:r>
      <w:r>
        <w:rPr>
          <w:sz w:val="20"/>
        </w:rPr>
        <w:t>. Sugeruje się uproszczone podejście, oparte na zasadach edukacji, aby umożliwić przeszkolenie wszystkich obywateli w zakr</w:t>
      </w:r>
      <w:r>
        <w:rPr>
          <w:sz w:val="20"/>
        </w:rPr>
        <w:t>esie RKO:</w:t>
      </w:r>
    </w:p>
    <w:p w:rsidR="00843B32" w:rsidRDefault="00F8537C">
      <w:pPr>
        <w:numPr>
          <w:ilvl w:val="0"/>
          <w:numId w:val="4"/>
        </w:numPr>
        <w:spacing w:after="3" w:line="236" w:lineRule="auto"/>
        <w:ind w:right="35" w:hanging="340"/>
        <w:jc w:val="both"/>
      </w:pPr>
      <w:r>
        <w:rPr>
          <w:sz w:val="20"/>
        </w:rPr>
        <w:t xml:space="preserve">Minimalnym wymogiem jest, aby wszystkich obywateli nauczać, w jaki sposób wykonywać uciśnięcia klatki piersiowej. </w:t>
      </w:r>
    </w:p>
    <w:p w:rsidR="00843B32" w:rsidRDefault="00F8537C">
      <w:pPr>
        <w:numPr>
          <w:ilvl w:val="0"/>
          <w:numId w:val="4"/>
        </w:numPr>
        <w:spacing w:after="3" w:line="236" w:lineRule="auto"/>
        <w:ind w:right="35" w:hanging="340"/>
        <w:jc w:val="both"/>
      </w:pPr>
      <w:r>
        <w:rPr>
          <w:sz w:val="20"/>
        </w:rPr>
        <w:t>W warunkach idealnych wszyscy obywatele powinni być uczeni umiejętności pełnej RKO (uciśnięcia klatki piersiowej i oddechy ratownic</w:t>
      </w:r>
      <w:r>
        <w:rPr>
          <w:sz w:val="20"/>
        </w:rPr>
        <w:t xml:space="preserve">ze w stosunku 30:2). </w:t>
      </w:r>
    </w:p>
    <w:p w:rsidR="00843B32" w:rsidRDefault="00F8537C">
      <w:pPr>
        <w:numPr>
          <w:ilvl w:val="0"/>
          <w:numId w:val="4"/>
        </w:numPr>
        <w:spacing w:after="3" w:line="236" w:lineRule="auto"/>
        <w:ind w:right="35" w:hanging="340"/>
        <w:jc w:val="both"/>
      </w:pPr>
      <w:r>
        <w:rPr>
          <w:sz w:val="20"/>
        </w:rPr>
        <w:t xml:space="preserve">Jeżeli szkolenie odbywa się w ograniczonym czasie lub w szczególnych okolicznościach (np. instrukcje przekazywane telefonicznie świadkowi zdarzenia przez dyspozytora pogotowia ratunkowego, zdarzenia masowe, kampanie publiczne, szybko </w:t>
      </w:r>
      <w:r>
        <w:rPr>
          <w:sz w:val="20"/>
        </w:rPr>
        <w:t>rozpowszechniane w internecie fi lmy wideo), powinno koncentrować się na RKO z wyłącznym uciskaniem klatki piersiowej. Lokalne społeczności mogą rozważyć własne podejście na podstawie epidemiologii lokalnej populacji, norm kulturowych oraz częstotliwości r</w:t>
      </w:r>
      <w:r>
        <w:rPr>
          <w:sz w:val="20"/>
        </w:rPr>
        <w:t xml:space="preserve">eakcji świadków  zdarzenia. </w:t>
      </w:r>
    </w:p>
    <w:p w:rsidR="00843B32" w:rsidRDefault="00F8537C">
      <w:pPr>
        <w:numPr>
          <w:ilvl w:val="0"/>
          <w:numId w:val="4"/>
        </w:numPr>
        <w:spacing w:after="3" w:line="236" w:lineRule="auto"/>
        <w:ind w:right="35" w:hanging="340"/>
        <w:jc w:val="both"/>
      </w:pPr>
      <w:r>
        <w:rPr>
          <w:sz w:val="20"/>
        </w:rPr>
        <w:t xml:space="preserve">Osoby przeszkolone początkowo w zakresie RKO z wyłącznym uciskaniem klatki piersiowej można nauczać wentylacji w trakcie kolejnego szkolenia. W warunkach idealnych osoby te </w:t>
      </w:r>
      <w:r>
        <w:rPr>
          <w:sz w:val="20"/>
        </w:rPr>
        <w:t>należałoby przeszkolić w wykonywaniu RKO z wyłącznym u</w:t>
      </w:r>
      <w:r>
        <w:rPr>
          <w:sz w:val="20"/>
        </w:rPr>
        <w:t xml:space="preserve">ciskaniem klatki piersiowej, a następnie zaoferować szkolenie obejmujące uciskanie klatki piersiowej i wentylację podczas tej samej sesji szkoleniowej. </w:t>
      </w:r>
    </w:p>
    <w:p w:rsidR="00843B32" w:rsidRDefault="00F8537C">
      <w:pPr>
        <w:numPr>
          <w:ilvl w:val="0"/>
          <w:numId w:val="4"/>
        </w:numPr>
        <w:spacing w:after="3" w:line="236" w:lineRule="auto"/>
        <w:ind w:right="35" w:hanging="340"/>
        <w:jc w:val="both"/>
      </w:pPr>
      <w:r>
        <w:rPr>
          <w:sz w:val="20"/>
        </w:rPr>
        <w:t>Laicy, którzy mają obowiązek udzielenia pomocy, jak np. osoby zatrudnione do udzielania pierwszej pomoc</w:t>
      </w:r>
      <w:r>
        <w:rPr>
          <w:sz w:val="20"/>
        </w:rPr>
        <w:t>y, pracownicy ochrony czy opiekuni, powinni być nauczani standardowej RKO, tzn. uciśnięć klatki piersiowej i wentylacji.</w:t>
      </w:r>
    </w:p>
    <w:p w:rsidR="00843B32" w:rsidRDefault="00F8537C">
      <w:pPr>
        <w:numPr>
          <w:ilvl w:val="0"/>
          <w:numId w:val="4"/>
        </w:numPr>
        <w:spacing w:after="245" w:line="234" w:lineRule="auto"/>
        <w:ind w:right="35" w:hanging="340"/>
        <w:jc w:val="both"/>
      </w:pPr>
      <w:r>
        <w:rPr>
          <w:sz w:val="20"/>
        </w:rPr>
        <w:t>W przypadku resuscytacji dzieci należy ratowników zachęcać, aby zastosowali jakąkolwiek znaną sobie sekwencję stosowaną u dorosłych, po</w:t>
      </w:r>
      <w:r>
        <w:rPr>
          <w:sz w:val="20"/>
        </w:rPr>
        <w:t>nieważ wyniki końcowe są gorsze, jeśli nie podejmie się żadnych działań. Osoby niebędące specjalistami, które chciałyby nauczyć się resuscytacji dzieci ze względu na odpowiedzialność za ich zdrowie (np. rodzice, nauczyciele, pielęgniarki szkolne, pracownic</w:t>
      </w:r>
      <w:r>
        <w:rPr>
          <w:sz w:val="20"/>
        </w:rPr>
        <w:t>y ochrony), powinny być uczone, że zaleca się modyfi kację podstawowych zabiegów resuscytacyjnych stosowanych u dorosłych, tzn. wykonanie najpierw pięciu oddechów ratunkowych, a następnie prowadzenie RKO przez około jedną minutę przed udaniem się po pomoc,</w:t>
      </w:r>
      <w:r>
        <w:rPr>
          <w:sz w:val="20"/>
        </w:rPr>
        <w:t xml:space="preserve"> jeżeli nie ma nikogo, kto mógłby ją wezwać</w:t>
      </w:r>
      <w:r>
        <w:rPr>
          <w:sz w:val="18"/>
          <w:vertAlign w:val="superscript"/>
        </w:rPr>
        <w:t>44</w:t>
      </w:r>
      <w:r>
        <w:rPr>
          <w:sz w:val="20"/>
        </w:rPr>
        <w:t>.</w:t>
      </w:r>
    </w:p>
    <w:p w:rsidR="00843B32" w:rsidRDefault="00F8537C">
      <w:pPr>
        <w:spacing w:after="20" w:line="225" w:lineRule="auto"/>
        <w:ind w:left="-5" w:hanging="10"/>
      </w:pPr>
      <w:r>
        <w:rPr>
          <w:b/>
          <w:sz w:val="21"/>
        </w:rPr>
        <w:t xml:space="preserve">Metody nauczania podstawowych zabiegów resuscytacyjnych i AED </w:t>
      </w:r>
    </w:p>
    <w:p w:rsidR="00843B32" w:rsidRDefault="00F8537C">
      <w:pPr>
        <w:spacing w:after="20" w:line="234" w:lineRule="auto"/>
        <w:ind w:left="-15" w:right="35" w:firstLine="330"/>
        <w:jc w:val="both"/>
      </w:pPr>
      <w:r>
        <w:rPr>
          <w:sz w:val="20"/>
        </w:rPr>
        <w:t>Istnieje wiele metod nauczania podstawowych zabiegów resuscytacyjnych i AED. Tradycyjnie kursy prowadzone przez instruktorów pozostają najczęściej</w:t>
      </w:r>
      <w:r>
        <w:rPr>
          <w:sz w:val="20"/>
        </w:rPr>
        <w:t xml:space="preserve"> używaną formą</w:t>
      </w:r>
      <w:r>
        <w:rPr>
          <w:sz w:val="18"/>
          <w:vertAlign w:val="superscript"/>
        </w:rPr>
        <w:t>45</w:t>
      </w:r>
      <w:r>
        <w:rPr>
          <w:sz w:val="20"/>
        </w:rPr>
        <w:t>. W porównaniu do tradycyjnych kursów prowadzonych przez instruktorów dobrze opracowane programy samokształcenia (np. wideo, DVD, informacja zwrotna przekazywana za pomocą komputera), w których udział instruktorów jest mniejszy, mogą stanow</w:t>
      </w:r>
      <w:r>
        <w:rPr>
          <w:sz w:val="20"/>
        </w:rPr>
        <w:t>ić skuteczną alternatywę nauczania laików i pracowników ochrony zdrowia podstawowych zabiegów resuscytacyjnych, w szczególności nauczania laików umiejętności stosowania AED</w:t>
      </w:r>
      <w:r>
        <w:rPr>
          <w:sz w:val="18"/>
          <w:vertAlign w:val="superscript"/>
        </w:rPr>
        <w:t>18,33,34,46-49</w:t>
      </w:r>
      <w:r>
        <w:rPr>
          <w:sz w:val="20"/>
        </w:rPr>
        <w:t>.</w:t>
      </w:r>
    </w:p>
    <w:p w:rsidR="00843B32" w:rsidRDefault="00F8537C">
      <w:pPr>
        <w:spacing w:after="0"/>
        <w:ind w:left="10" w:right="35" w:hanging="10"/>
        <w:jc w:val="right"/>
      </w:pPr>
      <w:r>
        <w:rPr>
          <w:sz w:val="20"/>
        </w:rPr>
        <w:t xml:space="preserve">Jeżeli nie ma dostępu do szkoleń prowadzonych przez </w:t>
      </w:r>
    </w:p>
    <w:p w:rsidR="00843B32" w:rsidRDefault="00F8537C">
      <w:pPr>
        <w:spacing w:after="80" w:line="234" w:lineRule="auto"/>
        <w:ind w:left="-15" w:right="35"/>
        <w:jc w:val="both"/>
      </w:pPr>
      <w:r>
        <w:rPr>
          <w:sz w:val="20"/>
        </w:rPr>
        <w:t xml:space="preserve">instruktorów, dopuszczalną praktyką są kursy samokształcenia w zakresie użycia AED. Krótkie wideo/komputerowe programy samokształcenia z minimalnym udziałem lub bez udziału instruktora, w trakcie których odbywają się synchronicznie, interaktywne ćwiczenia </w:t>
      </w:r>
      <w:r>
        <w:rPr>
          <w:sz w:val="20"/>
        </w:rPr>
        <w:t>z użyciem AED (ćwiczenia podczas oglądania), można uważać za skuteczną alternatywę dla kursów AED prowadzonych przez instruktorów</w:t>
      </w:r>
      <w:r>
        <w:rPr>
          <w:sz w:val="12"/>
        </w:rPr>
        <w:t>48,50,51</w:t>
      </w:r>
      <w:r>
        <w:rPr>
          <w:sz w:val="20"/>
        </w:rPr>
        <w:t>.</w:t>
      </w:r>
    </w:p>
    <w:p w:rsidR="00843B32" w:rsidRPr="00A31E5D" w:rsidRDefault="00F8537C">
      <w:pPr>
        <w:spacing w:after="223" w:line="234" w:lineRule="auto"/>
        <w:ind w:left="-15" w:right="35" w:firstLine="330"/>
        <w:jc w:val="both"/>
        <w:rPr>
          <w:color w:val="FF0000"/>
        </w:rPr>
      </w:pPr>
      <w:r w:rsidRPr="00A31E5D">
        <w:rPr>
          <w:color w:val="FF0000"/>
          <w:sz w:val="20"/>
        </w:rPr>
        <w:t xml:space="preserve">Co więcej, wiadomo, że </w:t>
      </w:r>
      <w:r w:rsidRPr="00A31E5D">
        <w:rPr>
          <w:b/>
          <w:color w:val="FF0000"/>
          <w:sz w:val="20"/>
          <w:u w:val="single"/>
        </w:rPr>
        <w:t>ratownicy mogą używać AED bez formalnego przeszkolenia</w:t>
      </w:r>
      <w:r w:rsidRPr="00A31E5D">
        <w:rPr>
          <w:color w:val="FF0000"/>
          <w:sz w:val="20"/>
        </w:rPr>
        <w:t xml:space="preserve">. Wykazano, że nawet jeśli AED znajduje </w:t>
      </w:r>
      <w:r w:rsidRPr="00A31E5D">
        <w:rPr>
          <w:color w:val="FF0000"/>
          <w:sz w:val="20"/>
        </w:rPr>
        <w:t>się w pobliżu, nie gwarantuje to jego użycia</w:t>
      </w:r>
      <w:r w:rsidRPr="00A31E5D">
        <w:rPr>
          <w:color w:val="FF0000"/>
          <w:sz w:val="18"/>
          <w:vertAlign w:val="superscript"/>
        </w:rPr>
        <w:t>52</w:t>
      </w:r>
      <w:r w:rsidRPr="00A31E5D">
        <w:rPr>
          <w:color w:val="FF0000"/>
          <w:sz w:val="20"/>
        </w:rPr>
        <w:t xml:space="preserve">. Dlatego wskazanie do prowadzenia szkoleń stanowi fakt, iż zwiększają one ogólną świadomość na temat użycia AED i korzyści wynikających z jego zastosowania, a także stanowią </w:t>
      </w:r>
      <w:r w:rsidRPr="00A31E5D">
        <w:rPr>
          <w:color w:val="FF0000"/>
          <w:sz w:val="20"/>
        </w:rPr>
        <w:lastRenderedPageBreak/>
        <w:t>forum, które może posłużyć do obale</w:t>
      </w:r>
      <w:r w:rsidRPr="00A31E5D">
        <w:rPr>
          <w:color w:val="FF0000"/>
          <w:sz w:val="20"/>
        </w:rPr>
        <w:t>nia mitów dotyczących ich użycia (np. przekonanie, że mogą być szkodliwe).</w:t>
      </w:r>
    </w:p>
    <w:sectPr w:rsidR="00843B32" w:rsidRPr="00A31E5D">
      <w:footnotePr>
        <w:numRestart w:val="eachPage"/>
      </w:footnotePr>
      <w:type w:val="continuous"/>
      <w:pgSz w:w="11622" w:h="16724"/>
      <w:pgMar w:top="1289" w:right="152" w:bottom="1154" w:left="1185" w:header="708" w:footer="708" w:gutter="0"/>
      <w:cols w:num="2" w:space="708" w:equalWidth="0">
        <w:col w:w="5450" w:space="289"/>
        <w:col w:w="45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7C" w:rsidRDefault="00F8537C">
      <w:pPr>
        <w:spacing w:after="0" w:line="240" w:lineRule="auto"/>
      </w:pPr>
      <w:r>
        <w:separator/>
      </w:r>
    </w:p>
  </w:endnote>
  <w:endnote w:type="continuationSeparator" w:id="0">
    <w:p w:rsidR="00F8537C" w:rsidRDefault="00F8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ras ITC">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32" w:rsidRDefault="00F8537C">
    <w:pPr>
      <w:tabs>
        <w:tab w:val="center" w:pos="4700"/>
        <w:tab w:val="right" w:pos="9411"/>
      </w:tabs>
      <w:spacing w:after="0"/>
    </w:pPr>
    <w:r>
      <w:rPr>
        <w:sz w:val="18"/>
      </w:rPr>
      <w:t xml:space="preserve">www.erc.edu </w:t>
    </w:r>
    <w:r>
      <w:rPr>
        <w:sz w:val="18"/>
      </w:rPr>
      <w:tab/>
      <w:t xml:space="preserve">Wytyczne resuscytacji 2015 </w:t>
    </w:r>
    <w:r>
      <w:rPr>
        <w:sz w:val="18"/>
      </w:rPr>
      <w:tab/>
      <w:t>www.prc.krakow.pl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32" w:rsidRDefault="00F8537C">
    <w:pPr>
      <w:tabs>
        <w:tab w:val="center" w:pos="643"/>
        <w:tab w:val="center" w:pos="4870"/>
        <w:tab w:val="right" w:pos="9581"/>
      </w:tabs>
      <w:spacing w:after="0"/>
      <w:ind w:right="-170"/>
    </w:pPr>
    <w:r>
      <w:tab/>
    </w:r>
    <w:r>
      <w:rPr>
        <w:sz w:val="18"/>
      </w:rPr>
      <w:t xml:space="preserve">www.erc.edu </w:t>
    </w:r>
    <w:r>
      <w:rPr>
        <w:sz w:val="18"/>
      </w:rPr>
      <w:tab/>
      <w:t xml:space="preserve">Wytyczne resuscytacji 2015 </w:t>
    </w:r>
    <w:r>
      <w:rPr>
        <w:sz w:val="18"/>
      </w:rPr>
      <w:tab/>
      <w:t>www.prc.krakow.pl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32" w:rsidRDefault="00F8537C">
    <w:pPr>
      <w:tabs>
        <w:tab w:val="center" w:pos="4700"/>
        <w:tab w:val="right" w:pos="9411"/>
      </w:tabs>
      <w:spacing w:after="0"/>
    </w:pPr>
    <w:r>
      <w:rPr>
        <w:sz w:val="18"/>
      </w:rPr>
      <w:t xml:space="preserve">www.erc.edu </w:t>
    </w:r>
    <w:r>
      <w:rPr>
        <w:sz w:val="18"/>
      </w:rPr>
      <w:tab/>
      <w:t xml:space="preserve">Wytyczne resuscytacji 2015 </w:t>
    </w:r>
    <w:r>
      <w:rPr>
        <w:sz w:val="18"/>
      </w:rPr>
      <w:tab/>
      <w:t>www.prc.krakow.pl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7C" w:rsidRDefault="00F8537C">
      <w:pPr>
        <w:spacing w:after="0" w:line="262" w:lineRule="auto"/>
        <w:ind w:right="49"/>
        <w:jc w:val="both"/>
      </w:pPr>
      <w:r>
        <w:separator/>
      </w:r>
    </w:p>
  </w:footnote>
  <w:footnote w:type="continuationSeparator" w:id="0">
    <w:p w:rsidR="00F8537C" w:rsidRDefault="00F8537C">
      <w:pPr>
        <w:spacing w:after="0" w:line="262" w:lineRule="auto"/>
        <w:ind w:right="49"/>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32" w:rsidRPr="00A31E5D" w:rsidRDefault="00F8537C">
    <w:pPr>
      <w:tabs>
        <w:tab w:val="center" w:pos="4706"/>
      </w:tabs>
      <w:spacing w:after="0"/>
      <w:rPr>
        <w:lang w:val="en-US"/>
      </w:rPr>
    </w:pPr>
    <w:r>
      <w:fldChar w:fldCharType="begin"/>
    </w:r>
    <w:r w:rsidRPr="00A31E5D">
      <w:rPr>
        <w:lang w:val="en-US"/>
      </w:rPr>
      <w:instrText xml:space="preserve"> PAGE   \* MERGEFORMAT </w:instrText>
    </w:r>
    <w:r>
      <w:fldChar w:fldCharType="separate"/>
    </w:r>
    <w:r w:rsidR="006D6837" w:rsidRPr="006D6837">
      <w:rPr>
        <w:noProof/>
        <w:sz w:val="28"/>
        <w:lang w:val="en-US"/>
      </w:rPr>
      <w:t>366</w:t>
    </w:r>
    <w:r>
      <w:rPr>
        <w:sz w:val="28"/>
      </w:rPr>
      <w:fldChar w:fldCharType="end"/>
    </w:r>
    <w:r w:rsidRPr="00A31E5D">
      <w:rPr>
        <w:sz w:val="28"/>
        <w:lang w:val="en-US"/>
      </w:rPr>
      <w:tab/>
    </w:r>
    <w:r w:rsidRPr="00A31E5D">
      <w:rPr>
        <w:sz w:val="18"/>
        <w:lang w:val="en-US"/>
      </w:rPr>
      <w:t>R. Greif, A.S. Lockey, P. Conaghan, A. Lip</w:t>
    </w:r>
    <w:r w:rsidRPr="00A31E5D">
      <w:rPr>
        <w:sz w:val="18"/>
        <w:lang w:val="en-US"/>
      </w:rPr>
      <w:t>pert, W. De Vries, K.G. Monsieurs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32" w:rsidRDefault="00F8537C">
    <w:pPr>
      <w:tabs>
        <w:tab w:val="center" w:pos="4876"/>
        <w:tab w:val="right" w:pos="9581"/>
      </w:tabs>
      <w:spacing w:after="0"/>
      <w:ind w:right="-170"/>
    </w:pPr>
    <w:r>
      <w:tab/>
    </w:r>
    <w:r>
      <w:rPr>
        <w:sz w:val="18"/>
      </w:rPr>
      <w:t>Nauczanie i implementacja resuscytacji</w:t>
    </w:r>
    <w:r>
      <w:rPr>
        <w:sz w:val="18"/>
      </w:rPr>
      <w:tab/>
    </w:r>
    <w:r>
      <w:fldChar w:fldCharType="begin"/>
    </w:r>
    <w:r>
      <w:instrText xml:space="preserve"> PAGE   \* MERGEFORMAT </w:instrText>
    </w:r>
    <w:r>
      <w:fldChar w:fldCharType="separate"/>
    </w:r>
    <w:r w:rsidR="006D6837" w:rsidRPr="006D6837">
      <w:rPr>
        <w:noProof/>
        <w:sz w:val="28"/>
      </w:rPr>
      <w:t>367</w:t>
    </w:r>
    <w:r>
      <w:rPr>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32" w:rsidRDefault="00843B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A63"/>
    <w:multiLevelType w:val="hybridMultilevel"/>
    <w:tmpl w:val="F606C79C"/>
    <w:lvl w:ilvl="0" w:tplc="2B58561E">
      <w:start w:val="1"/>
      <w:numFmt w:val="bullet"/>
      <w:lvlText w:val=""/>
      <w:lvlJc w:val="left"/>
      <w:pPr>
        <w:ind w:left="3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206631A8">
      <w:start w:val="1"/>
      <w:numFmt w:val="bullet"/>
      <w:lvlText w:val="o"/>
      <w:lvlJc w:val="left"/>
      <w:pPr>
        <w:ind w:left="10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64E65968">
      <w:start w:val="1"/>
      <w:numFmt w:val="bullet"/>
      <w:lvlText w:val="▪"/>
      <w:lvlJc w:val="left"/>
      <w:pPr>
        <w:ind w:left="18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820A235A">
      <w:start w:val="1"/>
      <w:numFmt w:val="bullet"/>
      <w:lvlText w:val="•"/>
      <w:lvlJc w:val="left"/>
      <w:pPr>
        <w:ind w:left="25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A1549D0C">
      <w:start w:val="1"/>
      <w:numFmt w:val="bullet"/>
      <w:lvlText w:val="o"/>
      <w:lvlJc w:val="left"/>
      <w:pPr>
        <w:ind w:left="32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4D8AF7E0">
      <w:start w:val="1"/>
      <w:numFmt w:val="bullet"/>
      <w:lvlText w:val="▪"/>
      <w:lvlJc w:val="left"/>
      <w:pPr>
        <w:ind w:left="396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0C30FCC2">
      <w:start w:val="1"/>
      <w:numFmt w:val="bullet"/>
      <w:lvlText w:val="•"/>
      <w:lvlJc w:val="left"/>
      <w:pPr>
        <w:ind w:left="46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31225BFA">
      <w:start w:val="1"/>
      <w:numFmt w:val="bullet"/>
      <w:lvlText w:val="o"/>
      <w:lvlJc w:val="left"/>
      <w:pPr>
        <w:ind w:left="54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DC2CFE82">
      <w:start w:val="1"/>
      <w:numFmt w:val="bullet"/>
      <w:lvlText w:val="▪"/>
      <w:lvlJc w:val="left"/>
      <w:pPr>
        <w:ind w:left="61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1" w15:restartNumberingAfterBreak="0">
    <w:nsid w:val="15E3635D"/>
    <w:multiLevelType w:val="hybridMultilevel"/>
    <w:tmpl w:val="4AB8E730"/>
    <w:lvl w:ilvl="0" w:tplc="C9ECDE0E">
      <w:start w:val="1"/>
      <w:numFmt w:val="decimal"/>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6825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08A5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64A6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7CC7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24B7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A636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8834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243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8A1DC0"/>
    <w:multiLevelType w:val="hybridMultilevel"/>
    <w:tmpl w:val="F364C3FA"/>
    <w:lvl w:ilvl="0" w:tplc="C5F6089E">
      <w:start w:val="2"/>
      <w:numFmt w:val="decimal"/>
      <w:lvlText w:val="%1"/>
      <w:lvlJc w:val="left"/>
      <w:pPr>
        <w:ind w:left="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19DEB192">
      <w:start w:val="1"/>
      <w:numFmt w:val="lowerLetter"/>
      <w:lvlText w:val="%2"/>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E22C73A0">
      <w:start w:val="1"/>
      <w:numFmt w:val="lowerRoman"/>
      <w:lvlText w:val="%3"/>
      <w:lvlJc w:val="left"/>
      <w:pPr>
        <w:ind w:left="1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2E421CA6">
      <w:start w:val="1"/>
      <w:numFmt w:val="decimal"/>
      <w:lvlText w:val="%4"/>
      <w:lvlJc w:val="left"/>
      <w:pPr>
        <w:ind w:left="25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672EA6D6">
      <w:start w:val="1"/>
      <w:numFmt w:val="lowerLetter"/>
      <w:lvlText w:val="%5"/>
      <w:lvlJc w:val="left"/>
      <w:pPr>
        <w:ind w:left="32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D7D0DA60">
      <w:start w:val="1"/>
      <w:numFmt w:val="lowerRoman"/>
      <w:lvlText w:val="%6"/>
      <w:lvlJc w:val="left"/>
      <w:pPr>
        <w:ind w:left="40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270EBBA4">
      <w:start w:val="1"/>
      <w:numFmt w:val="decimal"/>
      <w:lvlText w:val="%7"/>
      <w:lvlJc w:val="left"/>
      <w:pPr>
        <w:ind w:left="47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09FEA9AA">
      <w:start w:val="1"/>
      <w:numFmt w:val="lowerLetter"/>
      <w:lvlText w:val="%8"/>
      <w:lvlJc w:val="left"/>
      <w:pPr>
        <w:ind w:left="54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800A9700">
      <w:start w:val="1"/>
      <w:numFmt w:val="lowerRoman"/>
      <w:lvlText w:val="%9"/>
      <w:lvlJc w:val="left"/>
      <w:pPr>
        <w:ind w:left="61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3" w15:restartNumberingAfterBreak="0">
    <w:nsid w:val="27BC1048"/>
    <w:multiLevelType w:val="hybridMultilevel"/>
    <w:tmpl w:val="A5A09C40"/>
    <w:lvl w:ilvl="0" w:tplc="DB4C9E90">
      <w:start w:val="1"/>
      <w:numFmt w:val="bullet"/>
      <w:lvlText w:val=""/>
      <w:lvlJc w:val="left"/>
      <w:pPr>
        <w:ind w:left="3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62EC77B2">
      <w:start w:val="1"/>
      <w:numFmt w:val="bullet"/>
      <w:lvlText w:val="o"/>
      <w:lvlJc w:val="left"/>
      <w:pPr>
        <w:ind w:left="10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8884C7FE">
      <w:start w:val="1"/>
      <w:numFmt w:val="bullet"/>
      <w:lvlText w:val="▪"/>
      <w:lvlJc w:val="left"/>
      <w:pPr>
        <w:ind w:left="18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EA54611A">
      <w:start w:val="1"/>
      <w:numFmt w:val="bullet"/>
      <w:lvlText w:val="•"/>
      <w:lvlJc w:val="left"/>
      <w:pPr>
        <w:ind w:left="25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8940F0C0">
      <w:start w:val="1"/>
      <w:numFmt w:val="bullet"/>
      <w:lvlText w:val="o"/>
      <w:lvlJc w:val="left"/>
      <w:pPr>
        <w:ind w:left="32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A93CF62A">
      <w:start w:val="1"/>
      <w:numFmt w:val="bullet"/>
      <w:lvlText w:val="▪"/>
      <w:lvlJc w:val="left"/>
      <w:pPr>
        <w:ind w:left="396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66DA3304">
      <w:start w:val="1"/>
      <w:numFmt w:val="bullet"/>
      <w:lvlText w:val="•"/>
      <w:lvlJc w:val="left"/>
      <w:pPr>
        <w:ind w:left="46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A5646964">
      <w:start w:val="1"/>
      <w:numFmt w:val="bullet"/>
      <w:lvlText w:val="o"/>
      <w:lvlJc w:val="left"/>
      <w:pPr>
        <w:ind w:left="54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88EE924C">
      <w:start w:val="1"/>
      <w:numFmt w:val="bullet"/>
      <w:lvlText w:val="▪"/>
      <w:lvlJc w:val="left"/>
      <w:pPr>
        <w:ind w:left="61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4" w15:restartNumberingAfterBreak="0">
    <w:nsid w:val="29EC02FB"/>
    <w:multiLevelType w:val="hybridMultilevel"/>
    <w:tmpl w:val="2878D8D0"/>
    <w:lvl w:ilvl="0" w:tplc="5DF62FE0">
      <w:start w:val="1"/>
      <w:numFmt w:val="decimal"/>
      <w:lvlText w:val="%1."/>
      <w:lvlJc w:val="left"/>
      <w:pPr>
        <w:ind w:left="2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5D267A6">
      <w:start w:val="51"/>
      <w:numFmt w:val="decimal"/>
      <w:lvlText w:val="%2."/>
      <w:lvlJc w:val="left"/>
      <w:pPr>
        <w:ind w:left="100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C3A631D6">
      <w:start w:val="1"/>
      <w:numFmt w:val="lowerRoman"/>
      <w:lvlText w:val="%3"/>
      <w:lvlJc w:val="left"/>
      <w:pPr>
        <w:ind w:left="11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39FCFDFE">
      <w:start w:val="1"/>
      <w:numFmt w:val="decimal"/>
      <w:lvlText w:val="%4"/>
      <w:lvlJc w:val="left"/>
      <w:pPr>
        <w:ind w:left="19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4BA2FEE">
      <w:start w:val="1"/>
      <w:numFmt w:val="lowerLetter"/>
      <w:lvlText w:val="%5"/>
      <w:lvlJc w:val="left"/>
      <w:pPr>
        <w:ind w:left="26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3D44C89C">
      <w:start w:val="1"/>
      <w:numFmt w:val="lowerRoman"/>
      <w:lvlText w:val="%6"/>
      <w:lvlJc w:val="left"/>
      <w:pPr>
        <w:ind w:left="3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ABB81DA8">
      <w:start w:val="1"/>
      <w:numFmt w:val="decimal"/>
      <w:lvlText w:val="%7"/>
      <w:lvlJc w:val="left"/>
      <w:pPr>
        <w:ind w:left="406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1383E12">
      <w:start w:val="1"/>
      <w:numFmt w:val="lowerLetter"/>
      <w:lvlText w:val="%8"/>
      <w:lvlJc w:val="left"/>
      <w:pPr>
        <w:ind w:left="47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C9C065C6">
      <w:start w:val="1"/>
      <w:numFmt w:val="lowerRoman"/>
      <w:lvlText w:val="%9"/>
      <w:lvlJc w:val="left"/>
      <w:pPr>
        <w:ind w:left="55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319C58B5"/>
    <w:multiLevelType w:val="hybridMultilevel"/>
    <w:tmpl w:val="C01A3F9C"/>
    <w:lvl w:ilvl="0" w:tplc="8F7E4A42">
      <w:start w:val="1"/>
      <w:numFmt w:val="bullet"/>
      <w:lvlText w:val=""/>
      <w:lvlJc w:val="left"/>
      <w:pPr>
        <w:ind w:left="3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3912B01C">
      <w:start w:val="1"/>
      <w:numFmt w:val="bullet"/>
      <w:lvlText w:val="o"/>
      <w:lvlJc w:val="left"/>
      <w:pPr>
        <w:ind w:left="10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A336F1F6">
      <w:start w:val="1"/>
      <w:numFmt w:val="bullet"/>
      <w:lvlText w:val="▪"/>
      <w:lvlJc w:val="left"/>
      <w:pPr>
        <w:ind w:left="18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2946BA80">
      <w:start w:val="1"/>
      <w:numFmt w:val="bullet"/>
      <w:lvlText w:val="•"/>
      <w:lvlJc w:val="left"/>
      <w:pPr>
        <w:ind w:left="25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48B4AED0">
      <w:start w:val="1"/>
      <w:numFmt w:val="bullet"/>
      <w:lvlText w:val="o"/>
      <w:lvlJc w:val="left"/>
      <w:pPr>
        <w:ind w:left="32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D42AFC6E">
      <w:start w:val="1"/>
      <w:numFmt w:val="bullet"/>
      <w:lvlText w:val="▪"/>
      <w:lvlJc w:val="left"/>
      <w:pPr>
        <w:ind w:left="396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9A3C7DB6">
      <w:start w:val="1"/>
      <w:numFmt w:val="bullet"/>
      <w:lvlText w:val="•"/>
      <w:lvlJc w:val="left"/>
      <w:pPr>
        <w:ind w:left="46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560204F8">
      <w:start w:val="1"/>
      <w:numFmt w:val="bullet"/>
      <w:lvlText w:val="o"/>
      <w:lvlJc w:val="left"/>
      <w:pPr>
        <w:ind w:left="54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FB5C9622">
      <w:start w:val="1"/>
      <w:numFmt w:val="bullet"/>
      <w:lvlText w:val="▪"/>
      <w:lvlJc w:val="left"/>
      <w:pPr>
        <w:ind w:left="61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6" w15:restartNumberingAfterBreak="0">
    <w:nsid w:val="40524B79"/>
    <w:multiLevelType w:val="hybridMultilevel"/>
    <w:tmpl w:val="47223EFE"/>
    <w:lvl w:ilvl="0" w:tplc="183AEBCE">
      <w:start w:val="1"/>
      <w:numFmt w:val="bullet"/>
      <w:lvlText w:val=""/>
      <w:lvlJc w:val="left"/>
      <w:pPr>
        <w:ind w:left="3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D99CCE8C">
      <w:start w:val="1"/>
      <w:numFmt w:val="bullet"/>
      <w:lvlText w:val="o"/>
      <w:lvlJc w:val="left"/>
      <w:pPr>
        <w:ind w:left="10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602AA262">
      <w:start w:val="1"/>
      <w:numFmt w:val="bullet"/>
      <w:lvlText w:val="▪"/>
      <w:lvlJc w:val="left"/>
      <w:pPr>
        <w:ind w:left="18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1E7E091E">
      <w:start w:val="1"/>
      <w:numFmt w:val="bullet"/>
      <w:lvlText w:val="•"/>
      <w:lvlJc w:val="left"/>
      <w:pPr>
        <w:ind w:left="25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02584D8C">
      <w:start w:val="1"/>
      <w:numFmt w:val="bullet"/>
      <w:lvlText w:val="o"/>
      <w:lvlJc w:val="left"/>
      <w:pPr>
        <w:ind w:left="32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8812A52E">
      <w:start w:val="1"/>
      <w:numFmt w:val="bullet"/>
      <w:lvlText w:val="▪"/>
      <w:lvlJc w:val="left"/>
      <w:pPr>
        <w:ind w:left="396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654A611A">
      <w:start w:val="1"/>
      <w:numFmt w:val="bullet"/>
      <w:lvlText w:val="•"/>
      <w:lvlJc w:val="left"/>
      <w:pPr>
        <w:ind w:left="46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8D00BA4C">
      <w:start w:val="1"/>
      <w:numFmt w:val="bullet"/>
      <w:lvlText w:val="o"/>
      <w:lvlJc w:val="left"/>
      <w:pPr>
        <w:ind w:left="54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9BFEFF64">
      <w:start w:val="1"/>
      <w:numFmt w:val="bullet"/>
      <w:lvlText w:val="▪"/>
      <w:lvlJc w:val="left"/>
      <w:pPr>
        <w:ind w:left="61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7" w15:restartNumberingAfterBreak="0">
    <w:nsid w:val="45BD1760"/>
    <w:multiLevelType w:val="hybridMultilevel"/>
    <w:tmpl w:val="D9B4706C"/>
    <w:lvl w:ilvl="0" w:tplc="45E039F4">
      <w:start w:val="1"/>
      <w:numFmt w:val="bullet"/>
      <w:lvlText w:val=""/>
      <w:lvlJc w:val="left"/>
      <w:pPr>
        <w:ind w:left="3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939C4738">
      <w:start w:val="1"/>
      <w:numFmt w:val="bullet"/>
      <w:lvlText w:val="o"/>
      <w:lvlJc w:val="left"/>
      <w:pPr>
        <w:ind w:left="10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7C123972">
      <w:start w:val="1"/>
      <w:numFmt w:val="bullet"/>
      <w:lvlText w:val="▪"/>
      <w:lvlJc w:val="left"/>
      <w:pPr>
        <w:ind w:left="18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2D36C4C2">
      <w:start w:val="1"/>
      <w:numFmt w:val="bullet"/>
      <w:lvlText w:val="•"/>
      <w:lvlJc w:val="left"/>
      <w:pPr>
        <w:ind w:left="25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DDD6F83E">
      <w:start w:val="1"/>
      <w:numFmt w:val="bullet"/>
      <w:lvlText w:val="o"/>
      <w:lvlJc w:val="left"/>
      <w:pPr>
        <w:ind w:left="32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282A531C">
      <w:start w:val="1"/>
      <w:numFmt w:val="bullet"/>
      <w:lvlText w:val="▪"/>
      <w:lvlJc w:val="left"/>
      <w:pPr>
        <w:ind w:left="396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EE8E6C68">
      <w:start w:val="1"/>
      <w:numFmt w:val="bullet"/>
      <w:lvlText w:val="•"/>
      <w:lvlJc w:val="left"/>
      <w:pPr>
        <w:ind w:left="46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43FA250A">
      <w:start w:val="1"/>
      <w:numFmt w:val="bullet"/>
      <w:lvlText w:val="o"/>
      <w:lvlJc w:val="left"/>
      <w:pPr>
        <w:ind w:left="54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3AD21050">
      <w:start w:val="1"/>
      <w:numFmt w:val="bullet"/>
      <w:lvlText w:val="▪"/>
      <w:lvlJc w:val="left"/>
      <w:pPr>
        <w:ind w:left="61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8" w15:restartNumberingAfterBreak="0">
    <w:nsid w:val="77BD4CB4"/>
    <w:multiLevelType w:val="hybridMultilevel"/>
    <w:tmpl w:val="A724B650"/>
    <w:lvl w:ilvl="0" w:tplc="C18007DA">
      <w:start w:val="77"/>
      <w:numFmt w:val="decimal"/>
      <w:lvlText w:val="%1."/>
      <w:lvlJc w:val="left"/>
      <w:pPr>
        <w:ind w:left="2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320AAC4">
      <w:start w:val="1"/>
      <w:numFmt w:val="lowerLetter"/>
      <w:lvlText w:val="%2"/>
      <w:lvlJc w:val="left"/>
      <w:pPr>
        <w:ind w:left="125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8B827B20">
      <w:start w:val="1"/>
      <w:numFmt w:val="lowerRoman"/>
      <w:lvlText w:val="%3"/>
      <w:lvlJc w:val="left"/>
      <w:pPr>
        <w:ind w:left="19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16B80194">
      <w:start w:val="1"/>
      <w:numFmt w:val="decimal"/>
      <w:lvlText w:val="%4"/>
      <w:lvlJc w:val="left"/>
      <w:pPr>
        <w:ind w:left="26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F4A4F242">
      <w:start w:val="1"/>
      <w:numFmt w:val="lowerLetter"/>
      <w:lvlText w:val="%5"/>
      <w:lvlJc w:val="left"/>
      <w:pPr>
        <w:ind w:left="341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740A0996">
      <w:start w:val="1"/>
      <w:numFmt w:val="lowerRoman"/>
      <w:lvlText w:val="%6"/>
      <w:lvlJc w:val="left"/>
      <w:pPr>
        <w:ind w:left="413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32CC19B2">
      <w:start w:val="1"/>
      <w:numFmt w:val="decimal"/>
      <w:lvlText w:val="%7"/>
      <w:lvlJc w:val="left"/>
      <w:pPr>
        <w:ind w:left="485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3CFCF59E">
      <w:start w:val="1"/>
      <w:numFmt w:val="lowerLetter"/>
      <w:lvlText w:val="%8"/>
      <w:lvlJc w:val="left"/>
      <w:pPr>
        <w:ind w:left="55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E7E77F8">
      <w:start w:val="1"/>
      <w:numFmt w:val="lowerRoman"/>
      <w:lvlText w:val="%9"/>
      <w:lvlJc w:val="left"/>
      <w:pPr>
        <w:ind w:left="62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7DBB4164"/>
    <w:multiLevelType w:val="hybridMultilevel"/>
    <w:tmpl w:val="A3300A6E"/>
    <w:lvl w:ilvl="0" w:tplc="9E3A9F92">
      <w:start w:val="1"/>
      <w:numFmt w:val="decimal"/>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4456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D8A8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DC74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743C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72C1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A4A6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5AEC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8893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6"/>
  </w:num>
  <w:num w:numId="4">
    <w:abstractNumId w:val="5"/>
  </w:num>
  <w:num w:numId="5">
    <w:abstractNumId w:val="1"/>
  </w:num>
  <w:num w:numId="6">
    <w:abstractNumId w:val="9"/>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32"/>
    <w:rsid w:val="006D6837"/>
    <w:rsid w:val="00843B32"/>
    <w:rsid w:val="00A31E5D"/>
    <w:rsid w:val="00F85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172A"/>
  <w15:docId w15:val="{8808FA75-C6C3-466F-9087-E54E661B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4"/>
      <w:ind w:left="10" w:hanging="10"/>
      <w:outlineLvl w:val="0"/>
    </w:pPr>
    <w:rPr>
      <w:rFonts w:ascii="Calibri" w:eastAsia="Calibri" w:hAnsi="Calibri" w:cs="Calibri"/>
      <w:b/>
      <w:color w:val="000000"/>
      <w:sz w:val="25"/>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b/>
      <w:color w:val="000000"/>
      <w:sz w:val="21"/>
    </w:rPr>
  </w:style>
  <w:style w:type="paragraph" w:styleId="Nagwek3">
    <w:name w:val="heading 3"/>
    <w:next w:val="Normalny"/>
    <w:link w:val="Nagwek3Znak"/>
    <w:uiPriority w:val="9"/>
    <w:unhideWhenUsed/>
    <w:qFormat/>
    <w:pPr>
      <w:keepNext/>
      <w:keepLines/>
      <w:spacing w:after="0"/>
      <w:ind w:left="10" w:hanging="10"/>
      <w:outlineLvl w:val="2"/>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5"/>
    </w:rPr>
  </w:style>
  <w:style w:type="paragraph" w:customStyle="1" w:styleId="footnotedescription">
    <w:name w:val="footnote description"/>
    <w:next w:val="Normalny"/>
    <w:link w:val="footnotedescriptionChar"/>
    <w:hidden/>
    <w:pPr>
      <w:spacing w:after="0"/>
      <w:ind w:right="4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gwek2Znak">
    <w:name w:val="Nagłówek 2 Znak"/>
    <w:link w:val="Nagwek2"/>
    <w:rPr>
      <w:rFonts w:ascii="Calibri" w:eastAsia="Calibri" w:hAnsi="Calibri" w:cs="Calibri"/>
      <w:b/>
      <w:color w:val="000000"/>
      <w:sz w:val="21"/>
    </w:rPr>
  </w:style>
  <w:style w:type="character" w:customStyle="1" w:styleId="Nagwek3Znak">
    <w:name w:val="Nagłówek 3 Znak"/>
    <w:link w:val="Nagwek3"/>
    <w:rPr>
      <w:rFonts w:ascii="Calibri" w:eastAsia="Calibri" w:hAnsi="Calibri" w:cs="Calibri"/>
      <w:b/>
      <w:color w:val="000000"/>
      <w:sz w:val="21"/>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2078</Words>
  <Characters>12472</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Szymkowiak</dc:creator>
  <cp:keywords/>
  <cp:lastModifiedBy>Anna Szymkowiak</cp:lastModifiedBy>
  <cp:revision>3</cp:revision>
  <dcterms:created xsi:type="dcterms:W3CDTF">2019-05-17T17:37:00Z</dcterms:created>
  <dcterms:modified xsi:type="dcterms:W3CDTF">2019-05-17T17:37:00Z</dcterms:modified>
</cp:coreProperties>
</file>